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заключению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замечаний и пр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едложений участников публичных консультаций </w:t>
        <w:br/>
        <w:t xml:space="preserve">по проекту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приказа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Департамента промышленности Ханты-Мансийского автономного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округа – Югры «О внесении изменений в приказ Департамента промышленности Ханты-Мансийского автономного округа – Югры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  <w:br/>
        <w:t xml:space="preserve">от 31 марта 2023 года № 3-нп «Об утверждении Порядков предоставления субсидий из бюджета Ханты-Мансийского автономного округа – Югры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рамках государственной программы Ханты-Мансийского автономного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/>
        <w:t xml:space="preserve">округа – Югры «Развитие агропромышленного комплекса» юридическим лицам, индивидуальным предпринимателям, крестьянским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(фермерским) хозяйствам»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894"/>
        <w:tblW w:w="13935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567"/>
        <w:gridCol w:w="2638"/>
        <w:gridCol w:w="8837"/>
        <w:gridCol w:w="1893"/>
      </w:tblGrid>
      <w:tr>
        <w:tblPrEx/>
        <w:trPr>
          <w:trHeight w:val="288"/>
        </w:trPr>
        <w:tc>
          <w:tcPr>
            <w:tcBorders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bottom w:val="single" w:color="auto" w:sz="4" w:space="0"/>
            </w:tcBorders>
            <w:tcW w:w="263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обсуждения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bottom w:val="single" w:color="auto" w:sz="4" w:space="0"/>
            </w:tcBorders>
            <w:tcW w:w="883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участника обсуждения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bottom w:val="single" w:color="auto" w:sz="4" w:space="0"/>
            </w:tcBorders>
            <w:tcW w:w="189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рассмотрения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blPrEx/>
        <w:trPr>
          <w:trHeight w:val="358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113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Козлова О.А.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(администрация Ханты-Мансийского района)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Style w:val="89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96"/>
                <w:rFonts w:ascii="Times New Roman" w:hAnsi="Times New Roman" w:cs="Times New Roman"/>
                <w:sz w:val="24"/>
                <w:szCs w:val="24"/>
              </w:rPr>
              <w:t xml:space="preserve">Выбранный вариант решения проблемы не является оптимальным. В 2023 </w:t>
            </w:r>
            <w:bookmarkStart w:id="0" w:name="_GoBack"/>
            <w:r/>
            <w:bookmarkEnd w:id="0"/>
            <w:r>
              <w:rPr>
                <w:rStyle w:val="896"/>
                <w:rFonts w:ascii="Times New Roman" w:hAnsi="Times New Roman" w:cs="Times New Roman"/>
                <w:sz w:val="24"/>
                <w:szCs w:val="24"/>
              </w:rPr>
              <w:t xml:space="preserve">году в</w:t>
            </w:r>
            <w:r>
              <w:rPr>
                <w:rStyle w:val="896"/>
                <w:rFonts w:ascii="Times New Roman" w:hAnsi="Times New Roman" w:cs="Times New Roman"/>
                <w:sz w:val="24"/>
                <w:szCs w:val="24"/>
              </w:rPr>
              <w:t xml:space="preserve"> Закон № 228-оз внесены изменения в части изъятия и передачи вышеуказанного полномочия Департаменту промышленности автономного округа (Закон автономного округа от 14 декабря 2023 года № 116-оз). При эт</w:t>
            </w:r>
            <w:r>
              <w:rPr>
                <w:rStyle w:val="896"/>
                <w:rFonts w:ascii="Times New Roman" w:hAnsi="Times New Roman" w:cs="Times New Roman"/>
                <w:sz w:val="24"/>
                <w:szCs w:val="24"/>
              </w:rPr>
              <w:t xml:space="preserve">ом предложенный вариант решения оставляет за муниципальными образованиями все процедуры по приему заявок, проверке документов и объектов, формирование запросов, направление на проверку соответствия участников отбора требованиям и условиям предоставления су</w:t>
            </w:r>
            <w:r>
              <w:rPr>
                <w:rStyle w:val="896"/>
                <w:rFonts w:ascii="Times New Roman" w:hAnsi="Times New Roman" w:cs="Times New Roman"/>
                <w:sz w:val="24"/>
                <w:szCs w:val="24"/>
              </w:rPr>
              <w:t xml:space="preserve">бсидии, подготовку заключения на соответствие предложения и участника отбора всем установленным требованиям. Менее затратным и более эффективным будет являться централизованная проверка на соответствие условиям предоставления субсидии и требованиям отбора.</w:t>
            </w:r>
            <w:r>
              <w:rPr>
                <w:rStyle w:val="896"/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spacing w:after="113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pStyle w:val="897"/>
              <w:spacing w:before="0" w:beforeAutospacing="0" w:after="0" w:afterAutospacing="0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>
          <w:trHeight w:val="712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113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Козлова О.А.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(администрация Ханты-Мансийского района)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Не точно прописан расчет возврата части субсидии в случае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недостижения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значений результата предоставления.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  <w:p>
            <w:pPr>
              <w:jc w:val="both"/>
              <w:spacing w:after="0" w:line="240" w:lineRule="auto"/>
              <w:rPr>
                <w:rStyle w:val="89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896"/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pStyle w:val="895"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bCs/>
                <w:color w:val="auto"/>
                <w:szCs w:val="24"/>
                <w:highlight w:val="white"/>
              </w:rPr>
              <w:t xml:space="preserve">Учтено</w:t>
            </w:r>
            <w:r>
              <w:rPr>
                <w:rFonts w:cs="Times New Roman"/>
                <w:bCs/>
                <w:color w:val="auto"/>
                <w:szCs w:val="24"/>
              </w:rPr>
              <w:t xml:space="preserve">.</w:t>
            </w:r>
            <w:r>
              <w:rPr>
                <w:rFonts w:cs="Times New Roman"/>
                <w:color w:val="auto"/>
                <w:szCs w:val="24"/>
              </w:rPr>
            </w:r>
          </w:p>
        </w:tc>
      </w:tr>
      <w:tr>
        <w:tblPrEx/>
        <w:trPr>
          <w:trHeight w:val="651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113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Козлова О.А.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(администрация Ханты-Мансийского района)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Style w:val="89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Не определены условия применения штрафных санкций и их 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Style w:val="896"/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pStyle w:val="895"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bCs/>
                <w:color w:val="auto"/>
                <w:szCs w:val="24"/>
                <w:highlight w:val="white"/>
              </w:rPr>
              <w:t xml:space="preserve">Учтено</w:t>
            </w:r>
            <w:r>
              <w:rPr>
                <w:rFonts w:cs="Times New Roman"/>
                <w:bCs/>
                <w:color w:val="auto"/>
                <w:szCs w:val="24"/>
              </w:rPr>
              <w:t xml:space="preserve">.</w:t>
            </w:r>
            <w:r>
              <w:rPr>
                <w:rFonts w:cs="Times New Roman"/>
                <w:color w:val="auto"/>
                <w:szCs w:val="24"/>
              </w:rPr>
            </w:r>
          </w:p>
        </w:tc>
      </w:tr>
      <w:tr>
        <w:tblPrEx/>
        <w:trPr>
          <w:trHeight w:val="2464"/>
        </w:trPr>
        <w:tc>
          <w:tcPr>
            <w:tcBorders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113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Козлова О.А.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(администрация Ханты-Мансийского района)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spacing w:after="113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Style w:val="89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Подпунктом 2 пункта 2 статьи 2 Закона Ханты-Мансийского автономного округа – Югры от 16.12.2010 № 228-оз «О </w:t>
            </w:r>
            <w:r>
              <w:rPr>
                <w:rFonts w:ascii="Times New Roman" w:hAnsi="Times New Roman" w:eastAsia="TimesNewRoman" w:cs="Times New Roman"/>
                <w:sz w:val="24"/>
                <w:szCs w:val="24"/>
                <w:highlight w:val="white"/>
              </w:rPr>
              <w:t xml:space="preserve">наделении органов местного самоуправления муниципальных образований Ханты-Мансийского автономного округа – Югры полномочиями в сфере поддержки сельскохозяйственного производства и деятельности по заготовке и переработке дикоросов</w:t>
            </w:r>
            <w:r>
              <w:rPr>
                <w:rFonts w:ascii="Times New Roman" w:hAnsi="Times New Roman" w:eastAsia="TimesNewRoman" w:cs="Times New Roman"/>
                <w:sz w:val="24"/>
                <w:szCs w:val="24"/>
              </w:rPr>
              <w:t xml:space="preserve">» определено полномочие муници</w:t>
            </w:r>
            <w:r>
              <w:rPr>
                <w:rFonts w:ascii="Times New Roman" w:hAnsi="Times New Roman" w:eastAsia="TimesNewRoman" w:cs="Times New Roman"/>
                <w:sz w:val="24"/>
                <w:szCs w:val="24"/>
              </w:rPr>
              <w:t xml:space="preserve">пальных образований «проверка документов, представленных для получения субсидии из бюджета автономного округа на развитие материально-технической базы», при этом предложенным проектом предусмотрены полномочия муниципальных образований по приему заявок, про</w:t>
            </w:r>
            <w:r>
              <w:rPr>
                <w:rFonts w:ascii="Times New Roman" w:hAnsi="Times New Roman" w:eastAsia="TimesNewRoman" w:cs="Times New Roman"/>
                <w:sz w:val="24"/>
                <w:szCs w:val="24"/>
              </w:rPr>
              <w:t xml:space="preserve">верке документов и объектов, формирование запросов, направленных на проверку соответствия участников отбора требованиям и условиям предоставления субсидии, подготовку заключения на соответствие предложения и участника отбора всем установленным требованиям.</w:t>
            </w:r>
            <w:r>
              <w:rPr>
                <w:rStyle w:val="896"/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pStyle w:val="895"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Не учтено</w:t>
            </w:r>
            <w:r>
              <w:rPr>
                <w:rFonts w:cs="Times New Roman"/>
                <w:color w:val="auto"/>
                <w:szCs w:val="24"/>
              </w:rPr>
              <w:t xml:space="preserve">.</w:t>
            </w:r>
            <w:r>
              <w:rPr>
                <w:rFonts w:cs="Times New Roman"/>
                <w:color w:val="auto"/>
                <w:szCs w:val="24"/>
              </w:rPr>
            </w:r>
          </w:p>
        </w:tc>
      </w:tr>
      <w:tr>
        <w:tblPrEx/>
        <w:trPr>
          <w:trHeight w:val="375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113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Козлова О.А.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(администрация Ханты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Мансийского района)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Borders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pStyle w:val="734"/>
              <w:ind w:left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на строительство, реконструкцию и модернизацию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переработки дикоросов.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учтено.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390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113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Козлова О.А.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(администрация Ханты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Мансийского района)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pStyle w:val="734"/>
              <w:ind w:left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определить подход к определению соответствия критерию «экзотические породы».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34"/>
              <w:ind w:left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Учтено.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860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113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Козлова О.А.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(администрация Ханты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Мансийского района)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pStyle w:val="734"/>
              <w:ind w:left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предусмотреть возможность субсидирования оборудования для производства и переработки свинины. при условии, что свиноводческое хозяйство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зоосанитарному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статусу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компартменту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не ниже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учтено.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113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Козлова О.А.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(администрация Ханты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Мансийского района)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spacing w:after="113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pStyle w:val="734"/>
              <w:ind w:left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отбора получателей по всем сферам деятельности необходимо дополнить условием наличия на праве собственности, аренды или иного вещного права земельных (ого) участков (а) с целевым назначением, соответствующим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иду осуществляемой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Учтено.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40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113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Козлова О.А.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(администрация Ханты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Мансийского района)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spacing w:after="113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spacing w:after="1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Пунктом 13 проекта предусмотрено предоставление получателем предложения и документов в уполномоченный орган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автономного округа, по месту регистрации получателя.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Соответственно,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хозяйствующие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деятельность на территории автономного округа, но 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за его пределами, не могут участвовать в отборе. Кроме того, исходя из транспортной доступности территории необходимо оставить за получателем право выбора муниципального образования, в уполномоченный орган которого предоставить предложение и документы.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 учтено.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903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113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Козлова О.А.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(администрация Ханты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Мансийского района)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pStyle w:val="734"/>
              <w:ind w:left="0"/>
              <w:spacing w:after="1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предоставленных получателем не является исчерпывающим, так перечнем установлено предоставление копий документов, подтверждающих понесенные затраты, а какие это документы, их состав не определен.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Учтено.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870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113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Козлова О.А.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(администрация Ханты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Мансийского района)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pStyle w:val="734"/>
              <w:ind w:left="0"/>
              <w:spacing w:after="1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 установлен срок уполномоченному органу (муниципальному образованию) для проведения процедур соответствия получателей требованиям и критерии отбора.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Учтено.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blPrEx/>
        <w:trPr>
          <w:trHeight w:val="501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113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Козлова О.А.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(администрация Ханты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Мансийского района)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spacing w:after="113" w:line="240" w:lineRule="auto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предусмотрено проведение уполномоченным органом (муниципальным образованием) осмотра объекто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сельскохозяйственной техники, оборудования, транспортных средств, с оформлением акта осмотра с приложением фото и (или) видеоматериалов, что повлечет дополнительные расходы бюджетов муниципальных образований (в том числе с учетом положений пункта 13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екта) на командировочные расходы, при этом расчетом объема средств бюджета автономного округа муниципальному образованию для осуществления органами местного самоуправления переданных отдельных государственных полномочий, указанные расходы не предусмотрены.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 учтено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blPrEx/>
        <w:trPr>
          <w:trHeight w:val="232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113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Нефтеюганского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 пункте 7 возможность проведения отбора 4 раза – не позднее 10 рабочего дня января, 10 рабочего дня апреля, 10 рабочего дня июля, 10 рабочего дня октября.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1893" w:type="dxa"/>
            <w:textDirection w:val="lrTb"/>
            <w:noWrap w:val="false"/>
          </w:tcPr>
          <w:p>
            <w:pPr>
              <w:spacing w:after="113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учтено.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spacing w:after="113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862"/>
        </w:trPr>
        <w:tc>
          <w:tcPr>
            <w:tcBorders>
              <w:top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Нефтеюганского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пункте 12 уточнить дату, на которую Получатель должен соответствовать Требованиям.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Учтено.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Нефтеюганского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девятый подпункта 13.6 пункта 13 дополнить «(при наличии)».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Учтено.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783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Нефтеюганского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абзаце втором пункта 14.1 дополнить «,Фонде пенсионного и социального страхования Российской Федерации».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учтено.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blPrEx/>
        <w:trPr>
          <w:trHeight w:val="936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Нефтеюганского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абзацах пятом, седьмом подпункта 14.1 пункта 14 уточнить, где конкретно запрашивать сведения, указать наименование исполнительных органах автономного округа.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Учтено.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150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Нефтеюганского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абзацах третьем, четвертом, пятом подпункта 14.2 пункта 14 уточнить, где конкретно запрашивать сведения.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учтено.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188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Нефтеюганского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третий пункта 16 предлагаем исключить так как должностное лицо, ответственное за прием документов ставит номер, дату и время в описи документов согласно абзацу второго пункта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учтено.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850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Нефтеюганского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пункте 20 увеличить срок проверки документов до 15 рабочих дней, так как в течение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осуществить проверку достоверности предложения (заявки) с приложенными документами, на соответствие требованиям, условиям и критериям отбора невозможно в связи с тем, что в этот срок необходимо сделать и направить межведомственные запросы,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исполнительные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 государственной власти автономного округа и в 21 муниципальное образование, получить и обработать ответы на эти запросы, осуществить осмотр с оформлением акта, подготовить заключение и отправить документы в Департамент промышленности автономного округа.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Учтено.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blPrEx/>
        <w:trPr>
          <w:trHeight w:val="708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Нефтеюганского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ffffff" w:fill="ffffff"/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форму акта осмотра объекта, сельскохозяйственной техники, оборудования, транспортных средств (ссылка на акт в абзаце четвертом пункта 20).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Учтено.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585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Нефтеюганского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ffffff" w:fill="ffffff"/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пункте 14 и пункте 20 предусмотреть проверку Получателя и документов на соответствие требованиям и критериям с даты окончания срока проведения отбора, чтобы запросы направлять разово по всем поступившим предложениям (заявками) от Получателей.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 учтено.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blPrEx/>
        <w:trPr>
          <w:trHeight w:val="559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Нефтеюганского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ffffff" w:fill="ffffff"/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27 дополнить «(при наличии технической возможности)».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учтено.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blPrEx/>
        <w:trPr>
          <w:trHeight w:val="1350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Нефтеюганского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ffffff" w:fill="ffffff"/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пункту 13.3. Проекта порядка. В целях исключения разночтения в тексте Проекта, предлагаем наименование модульного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 привести в соответствие с понятием модульного цеха, приведенным в пункте 3 Проекта, а именно «модульный цех, предназначенный для первичной и (или) последующей промышленной переработки сельскохозяйственной (рыбной) продукции, для последующей реализации».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Учтено.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blPrEx/>
        <w:trPr>
          <w:trHeight w:val="2265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Нефтеюганского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ffffff" w:fill="ffffff"/>
            <w:tcBorders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пункту 20 Проекта порядка просим рассмотреть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об увеличении отведенного времени на проверку документов, с 5 рабочих дней до 10 рабочих дней, в целях своевременного выполнения работ Уполномоченного органа по проверке документов, включающего: направление и получение межведомственных запросов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достоверности заявки с приложенными документами, проведение осмотра объектов, сельскохозяйственной техники, оборудования, транспортных средств с оформлением акта осмотра, подготовка заключения, направление документов в Департамент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Учтено.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blPrEx/>
        <w:trPr>
          <w:trHeight w:val="1657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Нефтеюганского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пункту 14.1 Проекта порядка, в части механизма осуществления межведомственного взаимодействия по документам, подтверждающим отсутствие просроченной задолженности по возврату в бюджет автономного округа, а именно, в адрес каких исполнительных органов</w:t>
            </w:r>
            <w:bookmarkStart w:id="1" w:name="undefined"/>
            <w:r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необходимо Уполномоченному органу направлять запросы.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Учтено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1380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Кондинского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пункту 13.3. Проекта порядка. В целях исключения разночтения в тексте Проекта, предлагаем наименование модульного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 привести в соответствие с понятием модульного цеха, приведенным в пункте 3 Проекта, а именно «модульный цех, предназначенный для первичной и (или) последующей промышленной переработки сельскохозяйственной (рыбной) продукции, для последующей реализации».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Учтено.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pStyle w:val="897"/>
              <w:spacing w:before="0" w:beforeAutospacing="0" w:after="0" w:afterAutospacing="0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blPrEx/>
        <w:trPr>
          <w:trHeight w:val="2265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Кондинского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пункту 20 Проекта порядка просим рассмотреть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об увеличении отведенного времени на проверку документов, с 5 рабочих дней до 10 рабочих дней, в целях своевременного выполнения работ Уполномоченного органа по проверке документов, включающего: направление и получение межведомственных запросов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достоверности заявки с приложенными документами, проведение осмотра объектов, сельскохозяйственной техники, оборудования, транспортных средств с оформлением акта осмотра, подготовка заключения, направление документов в Департамент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pStyle w:val="897"/>
              <w:spacing w:before="0" w:beforeAutospacing="0" w:after="0" w:afterAutospacing="0"/>
              <w:shd w:val="clear" w:color="auto" w:fill="ffffff"/>
            </w:pPr>
            <w:r>
              <w:t xml:space="preserve">Учтено.</w:t>
            </w:r>
            <w:r/>
          </w:p>
        </w:tc>
      </w:tr>
      <w:tr>
        <w:tblPrEx/>
        <w:trPr>
          <w:trHeight w:val="870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Кондинского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пункту 14.1 Проекта порядка, в части механизма осуществления межве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домственного взаимодействия по документам, подтверждающим отсутствие просроченной задолженности по возврату в бюджет автономного округа, а именно, в адрес каких исполнительных органов автономного округа необходимо Уполномоченному органу направлять запросы.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pStyle w:val="897"/>
              <w:spacing w:before="0" w:after="0"/>
              <w:shd w:val="clear" w:color="auto" w:fill="ffffff"/>
            </w:pPr>
            <w:r>
              <w:t xml:space="preserve">Учтено</w:t>
            </w:r>
            <w:r>
              <w:t xml:space="preserve">.</w:t>
            </w:r>
            <w:r/>
          </w:p>
        </w:tc>
      </w:tr>
      <w:tr>
        <w:tblPrEx/>
        <w:trPr>
          <w:trHeight w:val="975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Выбранный вариант решения проблемы не является оптимальным. В 2023 году в Закон № 228-оз внесены изменения в части изъятия и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вышеуказанного полномочия Департаменту промышленности автономного округа (Закон автономного округа от 14 декабря 2023 года № 116-оз). При этом предложенный вариант решения проблемы оставляет за муниципальными образованиями все процедуры по приему заявок,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роверке документов и объектов, формирование запросов, направленных на проверку соответствия участника отбора требованиям и условиям предоставления субсидии, подготовку заключения на соответствие предложения и участника отбора всем установленным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97"/>
              <w:spacing w:before="0" w:after="0"/>
              <w:shd w:val="clear" w:color="auto" w:fill="ffffff"/>
            </w:pPr>
            <w:r/>
            <w:r/>
          </w:p>
        </w:tc>
      </w:tr>
      <w:tr>
        <w:tblPrEx/>
        <w:trPr>
          <w:trHeight w:val="785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Не точно прописан расчет возврата части субсидии в случае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недостижения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значений результата предоставления.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spacing w:after="113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Не учтено.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631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Не определены условия применения штрафных санкций и их расчет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Учтено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1245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pStyle w:val="734"/>
              <w:ind w:left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Подпунктом 2 пункта 2 статьи 2 Закона Ханты-Мансийского автономного округа – Югры от 16.12.2010 № 228-оз «О </w:t>
            </w:r>
            <w:r>
              <w:rPr>
                <w:rFonts w:ascii="Times New Roman" w:hAnsi="Times New Roman" w:eastAsia="TimesNewRoman" w:cs="Times New Roman"/>
                <w:sz w:val="24"/>
                <w:szCs w:val="24"/>
                <w:highlight w:val="white"/>
              </w:rPr>
              <w:t xml:space="preserve">наделении органов местного самоуправления муниципальных образований Ханты-Мансийского автономного округа – Югры полномочиями в сфере поддержки сельскохозяйственного производства и деятельности по заготовке и переработке дикоросов</w:t>
            </w:r>
            <w:r>
              <w:rPr>
                <w:rFonts w:ascii="Times New Roman" w:hAnsi="Times New Roman" w:eastAsia="TimesNewRoman" w:cs="Times New Roman"/>
                <w:sz w:val="24"/>
                <w:szCs w:val="24"/>
              </w:rPr>
              <w:t xml:space="preserve">» определено полномочие муниц</w:t>
            </w:r>
            <w:r>
              <w:rPr>
                <w:rFonts w:ascii="Times New Roman" w:hAnsi="Times New Roman" w:eastAsia="TimesNewRoman" w:cs="Times New Roman"/>
                <w:sz w:val="24"/>
                <w:szCs w:val="24"/>
              </w:rPr>
              <w:t xml:space="preserve">ипальных образований «проверка документов, представленных для получения субсидии из бюджета автономного округа на развитие материально-технической базы», при этом предложенным проектом предусмотрены полномочия муниципальных образований по приему заявок, пр</w:t>
            </w:r>
            <w:r>
              <w:rPr>
                <w:rFonts w:ascii="Times New Roman" w:hAnsi="Times New Roman" w:eastAsia="TimesNewRoman" w:cs="Times New Roman"/>
                <w:sz w:val="24"/>
                <w:szCs w:val="24"/>
              </w:rPr>
              <w:t xml:space="preserve">оверке документов и объектов, формирование запросов, направленных на проверку соответствия участников отбора требованиям и условиям предоставления субсидии, подготовку заключения на соответствие предложения и участника отбора всем установленным требованиям.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 учтено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180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pStyle w:val="734"/>
              <w:ind w:left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на строительство, реконструкцию и модернизацию объектов переработки дикоросов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 учтено.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180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отбора получателей по всем сферам деятельности необходимо дополнить условием наличия на праве собственности, аренды или иного вещного права земельных (ого) участков (а) с целевым назначением, соответствующим виду осуществляемой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Учтено.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135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Пунктом 13 проекта предусмотрено предоставление получателем предложения и документов в уполномоченный орган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автономного округа, по месту регистрации получателя. Соответственно,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хозяйствующие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деятельность на территории автономного округа, но 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за его пределами, не могут участвовать в отборе. Кроме того, исходя из транспортной доступности территории необходимо оставить за получателем право выбора муниципального образования, в уполномоченный орган которого предоставить предложение и документы.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 учтено.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10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предоставленных получателем не является исчерпывающим, так перечнем установлено предоставление копий документов, подтверждающих понесенные затраты, а какие это документы, их состав не определен.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Учтено.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10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 установлен срок уполномоченному органу (муниципальному образованию) для проведения процедур соответствия получателей требованиям и критерии отбора.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Учтено.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550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предусмотрено проведение уполномоченным органом (муниципальным образованием) осмотра объекто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сельскохозяйственной техники, оборудования, транспортных средств, с оформлением акта осмотра с приложением фото и (или) видеоматериалов, что повлечет дополнительные расходы бюджетов муниципальных образований (в том числе с учетом положений пункта 13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екта) на командировочные расходы, при этом расчетом объема средств бюджета автономного округа муниципальному образованию для осуществления органами местного самоуправления переданных отдельных государственных полномочий, указанные расходы не предусмотрены.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 учтено.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85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Пунктом 22 проекта предусмотрено повторное направление предложения (заявки) после устранения причин, послуживших для его устранения. Вместе с тем, отсутствуют положения, определяющие в какие сроки предложения (заявка) может быть направлено повторно.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Учтено.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327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88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на проверку документов Уполномоченным органом документов не достаточен.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bottom w:val="single" w:color="000000" w:sz="6" w:space="0"/>
            </w:tcBorders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Учтено.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113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1455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right w:val="single" w:color="000000" w:sz="6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Считаем необоснованным условие о наличии на праве собственности, аренды или иного вещного права сельскохозяйственной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техники и (или) специализированного оборудования для осуществления производственной деятельности при предоставлении субсидии организациям, осуществляющим деятельность в сфере растениеводства, а именно для выращивающих овощи и зеленые культуры в теплицах.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 учтено.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blPrEx/>
        <w:trPr>
          <w:trHeight w:val="1133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Выявлено несоответствие: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абзаце 2-м пункта 12 указано требование к Получателям «на едином налоговом счете отсутствует или не превышает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Федерации;». При этом  в соответствии с абзацем 2-м п. 14.1 уполномоченный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 запрашивает сведения «об отсутствии задолженности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Учтено.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1215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Запрос уполномоченным органом сведений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картографии)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 п. 14.1) считаем излишним при предоставлении субсидии на приобретение оборудования, техники и т.п. Считаем обоснованным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запрашивать  данные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сведения при включении критерия отбора получателей по всем мерам поддержки о наличии земельного участка с целевым назначением, соответствующим осуществляемой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/>
            <w:tcW w:w="189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Учтено.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100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9 п. 14.1 уполномоченный орган запрашивает в Федеральном бюджетном учреждении здрав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оохранения «Центр гигиены и эпидемиологии в Ханты-Мансийском автономном округе – Югре сведения о соответствии объектов по переработке сельскохозяйственной, рыбной продукции санитарно-эпидемиологическим нормам. Согласно полученному пояснению в Филиал ФБУЗ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ЦГиЭ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ХМАО-Югре в Советском районе и в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Югорске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Кондинском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 такие сведения по запросам не предоставляются. Может быть проведена санитарно-эпидемиологическая эксп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ертиза по заявлению хозяйствующего субъекта. Данная услуга является платной. Предлагаем возложить обязанность на получателя по предоставлению данной информации в составе заявки. Также просим пояснить распространяется ли данное требование на убойные пункты.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/>
            <w:tcW w:w="1893" w:type="dxa"/>
            <w:textDirection w:val="lrTb"/>
            <w:noWrap w:val="false"/>
          </w:tcPr>
          <w:p>
            <w:pPr>
              <w:spacing w:after="113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Учтено.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after="113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10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46.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Обсуждаемый проект НПА оставляет за муниципальными образованиями все процедуры предоставления субсидии,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 направление запросов во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 автономного округа  на предмет определения, получал ли заявитель  субсидию по заявле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нному мероприятию.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этого проектом 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определено, что Департамент промышленности также как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проверку документов на предмет достоверности и  комплектности.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Вариантом 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заявленных целей правового  регулирования и более эффективным было бы разделение полномочий между МО  и Департаментом промышленности без дублирования и принимая во внимание  имеющуюся информацию (задолженность перед бюджетом и предоставление 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 заявленному мероприятию).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spacing w:after="113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учтено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97"/>
              <w:spacing w:before="0" w:after="0"/>
              <w:shd w:val="clear" w:color="auto" w:fill="ffffff"/>
            </w:pPr>
            <w:r/>
            <w:r/>
          </w:p>
        </w:tc>
      </w:tr>
      <w:tr>
        <w:tblPrEx/>
        <w:trPr>
          <w:trHeight w:val="150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полно и не точно определен размер возврата части субсидии в случае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результатов предоставления субсидии,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именно  отсутствует формула определяющая  размер возврата субсидии, что приводит  к отсутствию полного понимания (например: при исполнении значений  результатов субсидии на 90%, возврат субсидии составит 90%? или возврат  субсидии составит 100%-90%=10%?).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pStyle w:val="897"/>
              <w:spacing w:before="0" w:after="0"/>
              <w:shd w:val="clear" w:color="auto" w:fill="ffffff"/>
            </w:pPr>
            <w:r>
              <w:rPr>
                <w:bCs/>
                <w:highlight w:val="white"/>
              </w:rPr>
              <w:t xml:space="preserve">Учтено</w:t>
            </w:r>
            <w:r>
              <w:rPr>
                <w:bCs/>
              </w:rPr>
              <w:t xml:space="preserve">.</w:t>
            </w:r>
            <w:r/>
          </w:p>
        </w:tc>
      </w:tr>
      <w:tr>
        <w:tblPrEx/>
        <w:trPr>
          <w:trHeight w:val="1552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Исключить из обязанностей МО осуществлять запро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сы, находящиеся в  ведении субъекта РФ (запросы о получении информации о наличии  (отсутствии) просроченной задолженности по возврату в бюджет автономного  округа субсидий и документов, подтверждающих отсутствие выплат средств  бюджета автономного округа).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spacing w:after="113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 учтено.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</w:p>
          <w:p>
            <w:pPr>
              <w:pStyle w:val="897"/>
              <w:spacing w:before="0" w:after="0"/>
              <w:shd w:val="clear" w:color="auto" w:fill="ffffff"/>
            </w:pPr>
            <w:r/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165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88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пункте 12 установить конкретную дату, на которую должен соответствовать требованиям Получатель.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93" w:type="dxa"/>
            <w:textDirection w:val="lrTb"/>
            <w:noWrap w:val="false"/>
          </w:tcPr>
          <w:p>
            <w:pPr>
              <w:spacing w:after="113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 учтено.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</w:p>
          <w:p>
            <w:pPr>
              <w:pStyle w:val="897"/>
              <w:spacing w:before="0" w:after="0"/>
              <w:shd w:val="clear" w:color="auto" w:fill="ffffff"/>
            </w:pPr>
            <w:r/>
            <w:r/>
          </w:p>
        </w:tc>
      </w:tr>
    </w:tbl>
    <w:p>
      <w:pPr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sectPr>
      <w:headerReference w:type="default" r:id="rId9"/>
      <w:headerReference w:type="first" r:id="rId10"/>
      <w:footnotePr/>
      <w:endnotePr/>
      <w:type w:val="nextPage"/>
      <w:pgSz w:w="16838" w:h="11906" w:orient="landscape"/>
      <w:pgMar w:top="1418" w:right="1276" w:bottom="1418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2020603050405020304"/>
  </w:font>
  <w:font w:name="Segoe UI">
    <w:panose1 w:val="020B0502040204020203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/>
      </w:rPr>
      <w:t xml:space="preserve">10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</w:r>
  </w:p>
  <w:p>
    <w:pPr>
      <w:pStyle w:val="74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  <w:jc w:val="center"/>
    </w:pPr>
    <w:r/>
    <w:r/>
  </w:p>
  <w:p>
    <w:pPr>
      <w:pStyle w:val="74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 w:default="1">
    <w:name w:val="Normal"/>
    <w:qFormat/>
  </w:style>
  <w:style w:type="paragraph" w:styleId="696">
    <w:name w:val="Heading 1"/>
    <w:basedOn w:val="695"/>
    <w:next w:val="695"/>
    <w:link w:val="725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97">
    <w:name w:val="Heading 2"/>
    <w:basedOn w:val="695"/>
    <w:next w:val="695"/>
    <w:link w:val="726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98">
    <w:name w:val="Heading 3"/>
    <w:basedOn w:val="695"/>
    <w:next w:val="695"/>
    <w:link w:val="727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99">
    <w:name w:val="Heading 4"/>
    <w:basedOn w:val="695"/>
    <w:next w:val="695"/>
    <w:link w:val="728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0">
    <w:name w:val="Heading 5"/>
    <w:basedOn w:val="695"/>
    <w:next w:val="695"/>
    <w:link w:val="729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1">
    <w:name w:val="Heading 6"/>
    <w:basedOn w:val="695"/>
    <w:next w:val="695"/>
    <w:link w:val="730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02">
    <w:name w:val="Heading 7"/>
    <w:basedOn w:val="695"/>
    <w:next w:val="695"/>
    <w:link w:val="731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03">
    <w:name w:val="Heading 8"/>
    <w:basedOn w:val="695"/>
    <w:next w:val="695"/>
    <w:link w:val="732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04">
    <w:name w:val="Heading 9"/>
    <w:basedOn w:val="695"/>
    <w:next w:val="695"/>
    <w:link w:val="733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Heading 1 Char"/>
    <w:basedOn w:val="705"/>
    <w:uiPriority w:val="9"/>
    <w:rPr>
      <w:rFonts w:ascii="Arial" w:hAnsi="Arial" w:eastAsia="Arial" w:cs="Arial"/>
      <w:sz w:val="40"/>
      <w:szCs w:val="40"/>
    </w:rPr>
  </w:style>
  <w:style w:type="character" w:styleId="709" w:customStyle="1">
    <w:name w:val="Heading 2 Char"/>
    <w:basedOn w:val="705"/>
    <w:uiPriority w:val="9"/>
    <w:rPr>
      <w:rFonts w:ascii="Arial" w:hAnsi="Arial" w:eastAsia="Arial" w:cs="Arial"/>
      <w:sz w:val="34"/>
    </w:rPr>
  </w:style>
  <w:style w:type="character" w:styleId="710" w:customStyle="1">
    <w:name w:val="Heading 3 Char"/>
    <w:basedOn w:val="705"/>
    <w:uiPriority w:val="9"/>
    <w:rPr>
      <w:rFonts w:ascii="Arial" w:hAnsi="Arial" w:eastAsia="Arial" w:cs="Arial"/>
      <w:sz w:val="30"/>
      <w:szCs w:val="30"/>
    </w:rPr>
  </w:style>
  <w:style w:type="character" w:styleId="711" w:customStyle="1">
    <w:name w:val="Heading 4 Char"/>
    <w:basedOn w:val="705"/>
    <w:uiPriority w:val="9"/>
    <w:rPr>
      <w:rFonts w:ascii="Arial" w:hAnsi="Arial" w:eastAsia="Arial" w:cs="Arial"/>
      <w:b/>
      <w:bCs/>
      <w:sz w:val="26"/>
      <w:szCs w:val="26"/>
    </w:rPr>
  </w:style>
  <w:style w:type="character" w:styleId="712" w:customStyle="1">
    <w:name w:val="Heading 5 Char"/>
    <w:basedOn w:val="705"/>
    <w:uiPriority w:val="9"/>
    <w:rPr>
      <w:rFonts w:ascii="Arial" w:hAnsi="Arial" w:eastAsia="Arial" w:cs="Arial"/>
      <w:b/>
      <w:bCs/>
      <w:sz w:val="24"/>
      <w:szCs w:val="24"/>
    </w:rPr>
  </w:style>
  <w:style w:type="character" w:styleId="713" w:customStyle="1">
    <w:name w:val="Heading 6 Char"/>
    <w:basedOn w:val="705"/>
    <w:uiPriority w:val="9"/>
    <w:rPr>
      <w:rFonts w:ascii="Arial" w:hAnsi="Arial" w:eastAsia="Arial" w:cs="Arial"/>
      <w:b/>
      <w:bCs/>
      <w:sz w:val="22"/>
      <w:szCs w:val="22"/>
    </w:rPr>
  </w:style>
  <w:style w:type="character" w:styleId="714" w:customStyle="1">
    <w:name w:val="Heading 7 Char"/>
    <w:basedOn w:val="70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5" w:customStyle="1">
    <w:name w:val="Heading 8 Char"/>
    <w:basedOn w:val="705"/>
    <w:uiPriority w:val="9"/>
    <w:rPr>
      <w:rFonts w:ascii="Arial" w:hAnsi="Arial" w:eastAsia="Arial" w:cs="Arial"/>
      <w:i/>
      <w:iCs/>
      <w:sz w:val="22"/>
      <w:szCs w:val="22"/>
    </w:rPr>
  </w:style>
  <w:style w:type="character" w:styleId="716" w:customStyle="1">
    <w:name w:val="Heading 9 Char"/>
    <w:basedOn w:val="705"/>
    <w:uiPriority w:val="9"/>
    <w:rPr>
      <w:rFonts w:ascii="Arial" w:hAnsi="Arial" w:eastAsia="Arial" w:cs="Arial"/>
      <w:i/>
      <w:iCs/>
      <w:sz w:val="21"/>
      <w:szCs w:val="21"/>
    </w:rPr>
  </w:style>
  <w:style w:type="character" w:styleId="717" w:customStyle="1">
    <w:name w:val="Title Char"/>
    <w:basedOn w:val="705"/>
    <w:uiPriority w:val="10"/>
    <w:rPr>
      <w:sz w:val="48"/>
      <w:szCs w:val="48"/>
    </w:rPr>
  </w:style>
  <w:style w:type="character" w:styleId="718" w:customStyle="1">
    <w:name w:val="Subtitle Char"/>
    <w:basedOn w:val="705"/>
    <w:uiPriority w:val="11"/>
    <w:rPr>
      <w:sz w:val="24"/>
      <w:szCs w:val="24"/>
    </w:rPr>
  </w:style>
  <w:style w:type="character" w:styleId="719" w:customStyle="1">
    <w:name w:val="Quote Char"/>
    <w:uiPriority w:val="29"/>
    <w:rPr>
      <w:i/>
    </w:rPr>
  </w:style>
  <w:style w:type="character" w:styleId="720" w:customStyle="1">
    <w:name w:val="Intense Quote Char"/>
    <w:uiPriority w:val="30"/>
    <w:rPr>
      <w:i/>
    </w:rPr>
  </w:style>
  <w:style w:type="character" w:styleId="721" w:customStyle="1">
    <w:name w:val="Header Char"/>
    <w:basedOn w:val="705"/>
    <w:uiPriority w:val="99"/>
  </w:style>
  <w:style w:type="character" w:styleId="722" w:customStyle="1">
    <w:name w:val="Caption Char"/>
    <w:uiPriority w:val="99"/>
  </w:style>
  <w:style w:type="character" w:styleId="723" w:customStyle="1">
    <w:name w:val="Footnote Text Char"/>
    <w:uiPriority w:val="99"/>
    <w:rPr>
      <w:sz w:val="18"/>
    </w:rPr>
  </w:style>
  <w:style w:type="character" w:styleId="724" w:customStyle="1">
    <w:name w:val="Endnote Text Char"/>
    <w:uiPriority w:val="99"/>
    <w:rPr>
      <w:sz w:val="20"/>
    </w:rPr>
  </w:style>
  <w:style w:type="character" w:styleId="725" w:customStyle="1">
    <w:name w:val="Заголовок 1 Знак"/>
    <w:basedOn w:val="705"/>
    <w:link w:val="696"/>
    <w:uiPriority w:val="9"/>
    <w:rPr>
      <w:rFonts w:ascii="Arial" w:hAnsi="Arial" w:eastAsia="Arial" w:cs="Arial"/>
      <w:sz w:val="40"/>
      <w:szCs w:val="40"/>
    </w:rPr>
  </w:style>
  <w:style w:type="character" w:styleId="726" w:customStyle="1">
    <w:name w:val="Заголовок 2 Знак"/>
    <w:basedOn w:val="705"/>
    <w:link w:val="697"/>
    <w:uiPriority w:val="9"/>
    <w:rPr>
      <w:rFonts w:ascii="Arial" w:hAnsi="Arial" w:eastAsia="Arial" w:cs="Arial"/>
      <w:sz w:val="34"/>
    </w:rPr>
  </w:style>
  <w:style w:type="character" w:styleId="727" w:customStyle="1">
    <w:name w:val="Заголовок 3 Знак"/>
    <w:basedOn w:val="705"/>
    <w:link w:val="698"/>
    <w:uiPriority w:val="9"/>
    <w:rPr>
      <w:rFonts w:ascii="Arial" w:hAnsi="Arial" w:eastAsia="Arial" w:cs="Arial"/>
      <w:sz w:val="30"/>
      <w:szCs w:val="30"/>
    </w:rPr>
  </w:style>
  <w:style w:type="character" w:styleId="728" w:customStyle="1">
    <w:name w:val="Заголовок 4 Знак"/>
    <w:basedOn w:val="705"/>
    <w:link w:val="699"/>
    <w:uiPriority w:val="9"/>
    <w:rPr>
      <w:rFonts w:ascii="Arial" w:hAnsi="Arial" w:eastAsia="Arial" w:cs="Arial"/>
      <w:b/>
      <w:bCs/>
      <w:sz w:val="26"/>
      <w:szCs w:val="26"/>
    </w:rPr>
  </w:style>
  <w:style w:type="character" w:styleId="729" w:customStyle="1">
    <w:name w:val="Заголовок 5 Знак"/>
    <w:basedOn w:val="705"/>
    <w:link w:val="700"/>
    <w:uiPriority w:val="9"/>
    <w:rPr>
      <w:rFonts w:ascii="Arial" w:hAnsi="Arial" w:eastAsia="Arial" w:cs="Arial"/>
      <w:b/>
      <w:bCs/>
      <w:sz w:val="24"/>
      <w:szCs w:val="24"/>
    </w:rPr>
  </w:style>
  <w:style w:type="character" w:styleId="730" w:customStyle="1">
    <w:name w:val="Заголовок 6 Знак"/>
    <w:basedOn w:val="705"/>
    <w:link w:val="701"/>
    <w:uiPriority w:val="9"/>
    <w:rPr>
      <w:rFonts w:ascii="Arial" w:hAnsi="Arial" w:eastAsia="Arial" w:cs="Arial"/>
      <w:b/>
      <w:bCs/>
      <w:sz w:val="22"/>
      <w:szCs w:val="22"/>
    </w:rPr>
  </w:style>
  <w:style w:type="character" w:styleId="731" w:customStyle="1">
    <w:name w:val="Заголовок 7 Знак"/>
    <w:basedOn w:val="705"/>
    <w:link w:val="7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2" w:customStyle="1">
    <w:name w:val="Заголовок 8 Знак"/>
    <w:basedOn w:val="705"/>
    <w:link w:val="703"/>
    <w:uiPriority w:val="9"/>
    <w:rPr>
      <w:rFonts w:ascii="Arial" w:hAnsi="Arial" w:eastAsia="Arial" w:cs="Arial"/>
      <w:i/>
      <w:iCs/>
      <w:sz w:val="22"/>
      <w:szCs w:val="22"/>
    </w:rPr>
  </w:style>
  <w:style w:type="character" w:styleId="733" w:customStyle="1">
    <w:name w:val="Заголовок 9 Знак"/>
    <w:basedOn w:val="705"/>
    <w:link w:val="704"/>
    <w:uiPriority w:val="9"/>
    <w:rPr>
      <w:rFonts w:ascii="Arial" w:hAnsi="Arial" w:eastAsia="Arial" w:cs="Arial"/>
      <w:i/>
      <w:iCs/>
      <w:sz w:val="21"/>
      <w:szCs w:val="21"/>
    </w:rPr>
  </w:style>
  <w:style w:type="paragraph" w:styleId="734">
    <w:name w:val="List Paragraph"/>
    <w:basedOn w:val="695"/>
    <w:uiPriority w:val="34"/>
    <w:qFormat/>
    <w:pPr>
      <w:contextualSpacing/>
      <w:ind w:left="720"/>
    </w:pPr>
  </w:style>
  <w:style w:type="paragraph" w:styleId="735">
    <w:name w:val="No Spacing"/>
    <w:uiPriority w:val="1"/>
    <w:qFormat/>
    <w:pPr>
      <w:spacing w:after="0" w:line="240" w:lineRule="auto"/>
    </w:pPr>
  </w:style>
  <w:style w:type="paragraph" w:styleId="736">
    <w:name w:val="Title"/>
    <w:basedOn w:val="695"/>
    <w:next w:val="695"/>
    <w:link w:val="737"/>
    <w:uiPriority w:val="10"/>
    <w:qFormat/>
    <w:pPr>
      <w:contextualSpacing/>
      <w:spacing w:before="300"/>
    </w:pPr>
    <w:rPr>
      <w:sz w:val="48"/>
      <w:szCs w:val="48"/>
    </w:rPr>
  </w:style>
  <w:style w:type="character" w:styleId="737" w:customStyle="1">
    <w:name w:val="Заголовок Знак"/>
    <w:basedOn w:val="705"/>
    <w:link w:val="736"/>
    <w:uiPriority w:val="10"/>
    <w:rPr>
      <w:sz w:val="48"/>
      <w:szCs w:val="48"/>
    </w:rPr>
  </w:style>
  <w:style w:type="paragraph" w:styleId="738">
    <w:name w:val="Subtitle"/>
    <w:basedOn w:val="695"/>
    <w:next w:val="695"/>
    <w:link w:val="739"/>
    <w:uiPriority w:val="11"/>
    <w:qFormat/>
    <w:pPr>
      <w:spacing w:before="200"/>
    </w:pPr>
    <w:rPr>
      <w:sz w:val="24"/>
      <w:szCs w:val="24"/>
    </w:rPr>
  </w:style>
  <w:style w:type="character" w:styleId="739" w:customStyle="1">
    <w:name w:val="Подзаголовок Знак"/>
    <w:basedOn w:val="705"/>
    <w:link w:val="738"/>
    <w:uiPriority w:val="11"/>
    <w:rPr>
      <w:sz w:val="24"/>
      <w:szCs w:val="24"/>
    </w:rPr>
  </w:style>
  <w:style w:type="paragraph" w:styleId="740">
    <w:name w:val="Quote"/>
    <w:basedOn w:val="695"/>
    <w:next w:val="695"/>
    <w:link w:val="741"/>
    <w:uiPriority w:val="29"/>
    <w:qFormat/>
    <w:pPr>
      <w:ind w:left="720" w:right="720"/>
    </w:pPr>
    <w:rPr>
      <w:i/>
    </w:rPr>
  </w:style>
  <w:style w:type="character" w:styleId="741" w:customStyle="1">
    <w:name w:val="Цитата 2 Знак"/>
    <w:link w:val="740"/>
    <w:uiPriority w:val="29"/>
    <w:rPr>
      <w:i/>
    </w:rPr>
  </w:style>
  <w:style w:type="paragraph" w:styleId="742">
    <w:name w:val="Intense Quote"/>
    <w:basedOn w:val="695"/>
    <w:next w:val="695"/>
    <w:link w:val="74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3" w:customStyle="1">
    <w:name w:val="Выделенная цитата Знак"/>
    <w:link w:val="742"/>
    <w:uiPriority w:val="30"/>
    <w:rPr>
      <w:i/>
    </w:rPr>
  </w:style>
  <w:style w:type="paragraph" w:styleId="744">
    <w:name w:val="Header"/>
    <w:basedOn w:val="695"/>
    <w:link w:val="7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5" w:customStyle="1">
    <w:name w:val="Верхний колонтитул Знак"/>
    <w:basedOn w:val="705"/>
    <w:link w:val="744"/>
    <w:uiPriority w:val="99"/>
  </w:style>
  <w:style w:type="paragraph" w:styleId="746">
    <w:name w:val="Footer"/>
    <w:basedOn w:val="695"/>
    <w:link w:val="74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7" w:customStyle="1">
    <w:name w:val="Footer Char"/>
    <w:basedOn w:val="705"/>
    <w:uiPriority w:val="99"/>
  </w:style>
  <w:style w:type="paragraph" w:styleId="748">
    <w:name w:val="Caption"/>
    <w:basedOn w:val="695"/>
    <w:next w:val="695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49" w:customStyle="1">
    <w:name w:val="Нижний колонтитул Знак"/>
    <w:link w:val="746"/>
    <w:uiPriority w:val="99"/>
  </w:style>
  <w:style w:type="table" w:styleId="750" w:customStyle="1">
    <w:name w:val="Table Grid Light"/>
    <w:basedOn w:val="70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1">
    <w:name w:val="Plain Table 1"/>
    <w:basedOn w:val="70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2"/>
    <w:basedOn w:val="70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3"/>
    <w:basedOn w:val="70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>
    <w:name w:val="Plain Table 4"/>
    <w:basedOn w:val="70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Plain Table 5"/>
    <w:basedOn w:val="70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6">
    <w:name w:val="Grid Table 1 Light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1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2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3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4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5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6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2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1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2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3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4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5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6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1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2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3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4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5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6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4"/>
    <w:basedOn w:val="70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8" w:customStyle="1">
    <w:name w:val="Grid Table 4 - Accent 1"/>
    <w:basedOn w:val="70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9" w:customStyle="1">
    <w:name w:val="Grid Table 4 - Accent 2"/>
    <w:basedOn w:val="706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0" w:customStyle="1">
    <w:name w:val="Grid Table 4 - Accent 3"/>
    <w:basedOn w:val="70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1" w:customStyle="1">
    <w:name w:val="Grid Table 4 - Accent 4"/>
    <w:basedOn w:val="706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2" w:customStyle="1">
    <w:name w:val="Grid Table 4 - Accent 5"/>
    <w:basedOn w:val="70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3" w:customStyle="1">
    <w:name w:val="Grid Table 4 - Accent 6"/>
    <w:basedOn w:val="70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4">
    <w:name w:val="Grid Table 5 Dark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- Accent 1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 - Accent 2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3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- Accent 4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5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6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1">
    <w:name w:val="Grid Table 6 Colorful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2" w:customStyle="1">
    <w:name w:val="Grid Table 6 Colorful - Accent 1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3" w:customStyle="1">
    <w:name w:val="Grid Table 6 Colorful - Accent 2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4" w:customStyle="1">
    <w:name w:val="Grid Table 6 Colorful - Accent 3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5" w:customStyle="1">
    <w:name w:val="Grid Table 6 Colorful - Accent 4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6" w:customStyle="1">
    <w:name w:val="Grid Table 6 Colorful - Accent 5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7" w:customStyle="1">
    <w:name w:val="Grid Table 6 Colorful - Accent 6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8">
    <w:name w:val="Grid Table 7 Colorful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1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2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3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4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5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6"/>
    <w:basedOn w:val="70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"/>
    <w:basedOn w:val="70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1"/>
    <w:basedOn w:val="70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2"/>
    <w:basedOn w:val="70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3"/>
    <w:basedOn w:val="70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4"/>
    <w:basedOn w:val="70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5"/>
    <w:basedOn w:val="70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6"/>
    <w:basedOn w:val="70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2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1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2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3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4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5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6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9">
    <w:name w:val="List Table 3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1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2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3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4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5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6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1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2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3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4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5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6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5 Dark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1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2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3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4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5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6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>
    <w:name w:val="List Table 6 Colorful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1" w:customStyle="1">
    <w:name w:val="List Table 6 Colorful - Accent 1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2" w:customStyle="1">
    <w:name w:val="List Table 6 Colorful - Accent 2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3" w:customStyle="1">
    <w:name w:val="List Table 6 Colorful - Accent 3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4" w:customStyle="1">
    <w:name w:val="List Table 6 Colorful - Accent 4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5" w:customStyle="1">
    <w:name w:val="List Table 6 Colorful - Accent 5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6" w:customStyle="1">
    <w:name w:val="List Table 6 Colorful - Accent 6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7">
    <w:name w:val="List Table 7 Colorful"/>
    <w:basedOn w:val="70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1"/>
    <w:basedOn w:val="70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2"/>
    <w:basedOn w:val="70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3"/>
    <w:basedOn w:val="70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4"/>
    <w:basedOn w:val="70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5"/>
    <w:basedOn w:val="70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6"/>
    <w:basedOn w:val="70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ned - Accent"/>
    <w:basedOn w:val="70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5" w:customStyle="1">
    <w:name w:val="Lined - Accent 1"/>
    <w:basedOn w:val="70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6" w:customStyle="1">
    <w:name w:val="Lined - Accent 2"/>
    <w:basedOn w:val="70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7" w:customStyle="1">
    <w:name w:val="Lined - Accent 3"/>
    <w:basedOn w:val="70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8" w:customStyle="1">
    <w:name w:val="Lined - Accent 4"/>
    <w:basedOn w:val="70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9" w:customStyle="1">
    <w:name w:val="Lined - Accent 5"/>
    <w:basedOn w:val="70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0" w:customStyle="1">
    <w:name w:val="Lined - Accent 6"/>
    <w:basedOn w:val="70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1" w:customStyle="1">
    <w:name w:val="Bordered &amp; Lined - Accent"/>
    <w:basedOn w:val="70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2" w:customStyle="1">
    <w:name w:val="Bordered &amp; Lined - Accent 1"/>
    <w:basedOn w:val="70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3" w:customStyle="1">
    <w:name w:val="Bordered &amp; Lined - Accent 2"/>
    <w:basedOn w:val="70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4" w:customStyle="1">
    <w:name w:val="Bordered &amp; Lined - Accent 3"/>
    <w:basedOn w:val="70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5" w:customStyle="1">
    <w:name w:val="Bordered &amp; Lined - Accent 4"/>
    <w:basedOn w:val="70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6" w:customStyle="1">
    <w:name w:val="Bordered &amp; Lined - Accent 5"/>
    <w:basedOn w:val="70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7" w:customStyle="1">
    <w:name w:val="Bordered &amp; Lined - Accent 6"/>
    <w:basedOn w:val="70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8" w:customStyle="1">
    <w:name w:val="Bordered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9" w:customStyle="1">
    <w:name w:val="Bordered - Accent 1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0" w:customStyle="1">
    <w:name w:val="Bordered - Accent 2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1" w:customStyle="1">
    <w:name w:val="Bordered - Accent 3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2" w:customStyle="1">
    <w:name w:val="Bordered - Accent 4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3" w:customStyle="1">
    <w:name w:val="Bordered - Accent 5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4" w:customStyle="1">
    <w:name w:val="Bordered - Accent 6"/>
    <w:basedOn w:val="7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75">
    <w:name w:val="Hyperlink"/>
    <w:uiPriority w:val="99"/>
    <w:unhideWhenUsed/>
    <w:rPr>
      <w:color w:val="0000ff" w:themeColor="hyperlink"/>
      <w:u w:val="single"/>
    </w:rPr>
  </w:style>
  <w:style w:type="paragraph" w:styleId="876">
    <w:name w:val="footnote text"/>
    <w:basedOn w:val="695"/>
    <w:link w:val="877"/>
    <w:uiPriority w:val="99"/>
    <w:semiHidden/>
    <w:unhideWhenUsed/>
    <w:pPr>
      <w:spacing w:after="40" w:line="240" w:lineRule="auto"/>
    </w:pPr>
    <w:rPr>
      <w:sz w:val="18"/>
    </w:rPr>
  </w:style>
  <w:style w:type="character" w:styleId="877" w:customStyle="1">
    <w:name w:val="Текст сноски Знак"/>
    <w:link w:val="876"/>
    <w:uiPriority w:val="99"/>
    <w:rPr>
      <w:sz w:val="18"/>
    </w:rPr>
  </w:style>
  <w:style w:type="character" w:styleId="878">
    <w:name w:val="footnote reference"/>
    <w:basedOn w:val="705"/>
    <w:uiPriority w:val="99"/>
    <w:unhideWhenUsed/>
    <w:rPr>
      <w:vertAlign w:val="superscript"/>
    </w:rPr>
  </w:style>
  <w:style w:type="paragraph" w:styleId="879">
    <w:name w:val="endnote text"/>
    <w:basedOn w:val="695"/>
    <w:link w:val="880"/>
    <w:uiPriority w:val="99"/>
    <w:semiHidden/>
    <w:unhideWhenUsed/>
    <w:pPr>
      <w:spacing w:after="0" w:line="240" w:lineRule="auto"/>
    </w:pPr>
    <w:rPr>
      <w:sz w:val="20"/>
    </w:rPr>
  </w:style>
  <w:style w:type="character" w:styleId="880" w:customStyle="1">
    <w:name w:val="Текст концевой сноски Знак"/>
    <w:link w:val="879"/>
    <w:uiPriority w:val="99"/>
    <w:rPr>
      <w:sz w:val="20"/>
    </w:rPr>
  </w:style>
  <w:style w:type="character" w:styleId="881">
    <w:name w:val="endnote reference"/>
    <w:basedOn w:val="705"/>
    <w:uiPriority w:val="99"/>
    <w:semiHidden/>
    <w:unhideWhenUsed/>
    <w:rPr>
      <w:vertAlign w:val="superscript"/>
    </w:rPr>
  </w:style>
  <w:style w:type="paragraph" w:styleId="882">
    <w:name w:val="toc 1"/>
    <w:basedOn w:val="695"/>
    <w:next w:val="695"/>
    <w:uiPriority w:val="39"/>
    <w:unhideWhenUsed/>
    <w:pPr>
      <w:spacing w:after="57"/>
    </w:pPr>
  </w:style>
  <w:style w:type="paragraph" w:styleId="883">
    <w:name w:val="toc 2"/>
    <w:basedOn w:val="695"/>
    <w:next w:val="695"/>
    <w:uiPriority w:val="39"/>
    <w:unhideWhenUsed/>
    <w:pPr>
      <w:ind w:left="283"/>
      <w:spacing w:after="57"/>
    </w:pPr>
  </w:style>
  <w:style w:type="paragraph" w:styleId="884">
    <w:name w:val="toc 3"/>
    <w:basedOn w:val="695"/>
    <w:next w:val="695"/>
    <w:uiPriority w:val="39"/>
    <w:unhideWhenUsed/>
    <w:pPr>
      <w:ind w:left="567"/>
      <w:spacing w:after="57"/>
    </w:pPr>
  </w:style>
  <w:style w:type="paragraph" w:styleId="885">
    <w:name w:val="toc 4"/>
    <w:basedOn w:val="695"/>
    <w:next w:val="695"/>
    <w:uiPriority w:val="39"/>
    <w:unhideWhenUsed/>
    <w:pPr>
      <w:ind w:left="850"/>
      <w:spacing w:after="57"/>
    </w:pPr>
  </w:style>
  <w:style w:type="paragraph" w:styleId="886">
    <w:name w:val="toc 5"/>
    <w:basedOn w:val="695"/>
    <w:next w:val="695"/>
    <w:uiPriority w:val="39"/>
    <w:unhideWhenUsed/>
    <w:pPr>
      <w:ind w:left="1134"/>
      <w:spacing w:after="57"/>
    </w:pPr>
  </w:style>
  <w:style w:type="paragraph" w:styleId="887">
    <w:name w:val="toc 6"/>
    <w:basedOn w:val="695"/>
    <w:next w:val="695"/>
    <w:uiPriority w:val="39"/>
    <w:unhideWhenUsed/>
    <w:pPr>
      <w:ind w:left="1417"/>
      <w:spacing w:after="57"/>
    </w:pPr>
  </w:style>
  <w:style w:type="paragraph" w:styleId="888">
    <w:name w:val="toc 7"/>
    <w:basedOn w:val="695"/>
    <w:next w:val="695"/>
    <w:uiPriority w:val="39"/>
    <w:unhideWhenUsed/>
    <w:pPr>
      <w:ind w:left="1701"/>
      <w:spacing w:after="57"/>
    </w:pPr>
  </w:style>
  <w:style w:type="paragraph" w:styleId="889">
    <w:name w:val="toc 8"/>
    <w:basedOn w:val="695"/>
    <w:next w:val="695"/>
    <w:uiPriority w:val="39"/>
    <w:unhideWhenUsed/>
    <w:pPr>
      <w:ind w:left="1984"/>
      <w:spacing w:after="57"/>
    </w:pPr>
  </w:style>
  <w:style w:type="paragraph" w:styleId="890">
    <w:name w:val="toc 9"/>
    <w:basedOn w:val="695"/>
    <w:next w:val="695"/>
    <w:uiPriority w:val="39"/>
    <w:unhideWhenUsed/>
    <w:pPr>
      <w:ind w:left="2268"/>
      <w:spacing w:after="57"/>
    </w:pPr>
  </w:style>
  <w:style w:type="paragraph" w:styleId="891">
    <w:name w:val="TOC Heading"/>
    <w:uiPriority w:val="39"/>
    <w:unhideWhenUsed/>
  </w:style>
  <w:style w:type="paragraph" w:styleId="892">
    <w:name w:val="table of figures"/>
    <w:basedOn w:val="695"/>
    <w:next w:val="695"/>
    <w:uiPriority w:val="99"/>
    <w:unhideWhenUsed/>
    <w:pPr>
      <w:spacing w:after="0"/>
    </w:pPr>
  </w:style>
  <w:style w:type="table" w:styleId="893">
    <w:name w:val="Table Grid"/>
    <w:basedOn w:val="70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94" w:customStyle="1">
    <w:name w:val="table_body"/>
    <w:uiPriority w:val="99"/>
    <w:pPr>
      <w:spacing w:after="160" w:line="259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000000" w:sz="5" w:space="0"/>
        <w:left w:val="single" w:color="000000" w:sz="5" w:space="0"/>
        <w:bottom w:val="single" w:color="000000" w:sz="5" w:space="0"/>
        <w:right w:val="single" w:color="000000" w:sz="5" w:space="0"/>
        <w:insideH w:val="single" w:color="000000" w:sz="5" w:space="0"/>
        <w:insideV w:val="single" w:color="000000" w:sz="5" w:space="0"/>
      </w:tblBorders>
      <w:tblCellMar>
        <w:left w:w="50" w:type="dxa"/>
        <w:top w:w="50" w:type="dxa"/>
        <w:right w:w="50" w:type="dxa"/>
        <w:bottom w:w="50" w:type="dxa"/>
      </w:tblCellMar>
    </w:tblPr>
    <w:tcPr>
      <w:tcW w:w="0" w:type="auto"/>
    </w:tcPr>
  </w:style>
  <w:style w:type="paragraph" w:styleId="895" w:customStyle="1">
    <w:name w:val="Default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Calibri" w:cs="Arial Unicode MS"/>
      <w:color w:val="000000"/>
      <w:sz w:val="24"/>
    </w:rPr>
  </w:style>
  <w:style w:type="character" w:styleId="896" w:customStyle="1">
    <w:name w:val="pt-000004"/>
  </w:style>
  <w:style w:type="paragraph" w:styleId="897" w:customStyle="1">
    <w:name w:val="formattext"/>
    <w:basedOn w:val="6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8">
    <w:name w:val="Balloon Text"/>
    <w:basedOn w:val="695"/>
    <w:link w:val="89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99" w:customStyle="1">
    <w:name w:val="Текст выноски Знак"/>
    <w:basedOn w:val="705"/>
    <w:link w:val="89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Ксения Сергеевна</dc:creator>
  <cp:keywords/>
  <dc:description/>
  <cp:revision>28</cp:revision>
  <dcterms:created xsi:type="dcterms:W3CDTF">2024-03-05T11:06:00Z</dcterms:created>
  <dcterms:modified xsi:type="dcterms:W3CDTF">2024-03-21T11:38:22Z</dcterms:modified>
</cp:coreProperties>
</file>