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</w:t>
      </w:r>
      <w:r>
        <w:rPr>
          <w:rFonts w:ascii="Times New Roman" w:hAnsi="Times New Roman" w:cs="Times New Roman"/>
          <w:sz w:val="28"/>
          <w:szCs w:val="28"/>
        </w:rPr>
        <w:t xml:space="preserve">лан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Ханты-Мансийского автономного округа – Югры </w:t>
        <w:br/>
        <w:t xml:space="preserve">(далее – НПА, автономный округ) на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76"/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4926"/>
        <w:gridCol w:w="1831"/>
        <w:gridCol w:w="1953"/>
        <w:gridCol w:w="2786"/>
        <w:gridCol w:w="2801"/>
      </w:tblGrid>
      <w:tr>
        <w:tblPrEx/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п/п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акт, подлежащий экспертизе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gridSpan w:val="2"/>
            <w:tcW w:w="37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экспертизы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Исполнительный орган автономного округа, ответственный за проведение экспертизы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Обоснование необходимости включения нормативного правового акта в проект плана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blPrEx/>
        <w:trPr>
          <w:trHeight w:val="2177"/>
        </w:trPr>
        <w:tc>
          <w:tcPr>
            <w:tcW w:w="63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9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(не менее 25 рабочих дней)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направления документов в уполномоченный орган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(не позднее 10 рабочих дней со дня окончания публичных консультаций)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35"/>
        </w:trPr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Правительства автономного округа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 июня 2021 года № 213-п </w:t>
              <w:br/>
              <w:t xml:space="preserve">«О регулировании отдельных отношений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сфере комплексного развития территорий в Ханты-Мансийском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Югре»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орядок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заключения договоров о комплексном развитии территории, заключаемых органами местного са</w:t>
            </w:r>
            <w:bookmarkStart w:id="0" w:name="_GoBack"/>
            <w:r>
              <w:rPr>
                <w:sz w:val="23"/>
                <w:szCs w:val="23"/>
              </w:rPr>
            </w:r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моуправления муниципальных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образований автономного округа с правообладателями земельных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участков и (или) расположенных на них объектов недвижимого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имущества без проведения торгов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01.02.24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07.03.24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25.03.24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Деппространственного развития и архитектуры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12 декабря 2007 года № 316-п </w:t>
              <w:br/>
              <w:t xml:space="preserve">«О регистрации специалистов в области ветеринарии, не являющихся уполномоченными лицами органов и организаций, входящих в систему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Государственной ветеринарной службы Российской Федерации, занимающихся предпринимательской деятельностью в области ветеринарии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12.02.24-19.03.24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03.04.24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Ветслужба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30 декабря 2021 года № 638-п </w:t>
              <w:br/>
              <w:t xml:space="preserve">«О мерах по реализации государственной программы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Ханты-Мансийского автономного</w:t>
              <w:br/>
              <w:t xml:space="preserve">округа – Югры «Развитие промышленности </w:t>
              <w:br/>
              <w:t xml:space="preserve">и туризма»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01.03.24-05.04.24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19.04.24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Деппромышленности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Ранее в отношении проекта, вносящего изменения в НПА, были замечания (от 16.05.2023 № 22-Исх-4027)</w:t>
            </w:r>
            <w:r>
              <w:rPr>
                <w:sz w:val="23"/>
                <w:szCs w:val="23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highlight w:val="none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23 декабря 2011 года № 485-п </w:t>
              <w:br/>
              <w:t xml:space="preserve">«О системе наблюдения за состоянием окружающей среды в границах лицензионных участков на право пользования недрами с целью добычи нефти и газа на территории Ханты-Мансийского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 и признании утратившими силу некоторых постановлений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11.03.24-12.04.24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29.04.24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Природнадзор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r/>
            <w:r/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Приказ Депнедра и природных ресурсов Югры от 26 января 2018 года № 3-нп 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зных ископаемых, разведку и добычу таких полезных ископаемых, в границах предоставленных им в соответствии с законодательством Российской Федерации участков недр на основании утвержденного технического проекта»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01.04.24-06.05.24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22.05.24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природных ресурсов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r/>
            <w:r/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6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6 апреля 2007 года № 85-п </w:t>
              <w:br/>
              <w:t xml:space="preserve">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Югре»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15.04.24-21.05.24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05.06.24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природных ресурсов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Постановление Правительства автономного округа от 28 мая 2009 года № 131-п 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«О порядке и условиях предоставления социальных услуг службой «Социальное такси» организаций социального обслуживания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Югры»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06.05.24-10.06.24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26.06.24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Депсоцразвития Югры 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8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14 января 2011 года № 2-п </w:t>
              <w:br/>
              <w:t xml:space="preserve">«О порядке передачи в безвозмездное пользование объектов государственной собственности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20.05.24-24.06.24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09.07.24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Депимущества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9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Приказ Департамента по недропользованию автономного округа от 12 июля 2012 года </w:t>
              <w:br/>
              <w:t xml:space="preserve">№ 9-нп «Об утверждении Порядка согласования нормативов потерь общераспространенных полезных ископаемых, превышающих по величине нормативы, утвержденные в составе проектно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й документации»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03.06.24-08.07.24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23.07.24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природных ресурсов Югры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и инвестиционной деятельности.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Постановление Правительства автономного округа от 15 декабря 2023 года № 624-п </w:t>
              <w:br/>
              <w:t xml:space="preserve">«О мерах по реализации пунктов 1, 3 статьи 80 Бюджетного кодекса Российской Федерации»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05.08.24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Депимущества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non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Проведена ОРВ проекта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 декабря 2023 года № 13-Проекты НПА-556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специальном порядке**. </w:t>
            </w:r>
            <w:r>
              <w:rPr>
                <w:rFonts w:ascii="Times New Roman" w:hAnsi="Times New Roman" w:cs="Times New Roman"/>
                <w:sz w:val="23"/>
                <w:szCs w:val="23"/>
                <w:highlight w:val="none"/>
              </w:rPr>
            </w:r>
            <w:r>
              <w:rPr>
                <w:rFonts w:ascii="Times New Roman" w:hAnsi="Times New Roman" w:cs="Times New Roman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вступил в силу </w:t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20 декабря 2007 года № 326-п </w:t>
              <w:br/>
              <w:t xml:space="preserve">«О Порядке формирования Реестра инвестиционных проектов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 в целях применения налогоплательщиками льготы </w:t>
              <w:br/>
              <w:t xml:space="preserve">по налогу на имущество орган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изаций»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01.07.24-02.08.24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19.08.24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Депфин Югры, Депэкономики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Закон автономного округа от 20 июля </w:t>
              <w:br/>
              <w:t xml:space="preserve">2007 года № 102-оз «Об организации деятельности ярмарок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15.07.24-16.08.24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01.09.24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Депэкономик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blPrEx/>
        <w:trPr>
          <w:trHeight w:val="517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92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от 29 мая 2007 года № 135-п </w:t>
              <w:br/>
              <w:t xml:space="preserve">«О Порядке заключения договора о предоставлении торгового места и типовой форме договора о предоставлении торгового места на рынке»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01.08.24-04.09.24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1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19.09.24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7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Депэкономик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Югры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НПА затрагивает вопросы осуществления предпринимательской </w:t>
              <w:br/>
              <w:t xml:space="preserve">и инвестиционной деятельности*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НПА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</w:t>
      </w:r>
      <w:r>
        <w:rPr>
          <w:rFonts w:ascii="Times New Roman" w:hAnsi="Times New Roman" w:cs="Times New Roman"/>
          <w:sz w:val="20"/>
          <w:szCs w:val="20"/>
        </w:rPr>
        <w:t xml:space="preserve">нимательской и инвестиционной деятельности, подлежат экспертизе (п.6 статьи 2 Закона автономного округа 29 мая 2014 года № 42-оз «Об отдельных вопросах организации оценки регулирующего воздействия проектов нормативных правовых актов, экспертизы и оценки фа</w:t>
      </w:r>
      <w:r>
        <w:rPr>
          <w:rFonts w:ascii="Times New Roman" w:hAnsi="Times New Roman" w:cs="Times New Roman"/>
          <w:sz w:val="20"/>
          <w:szCs w:val="20"/>
        </w:rPr>
        <w:t xml:space="preserve">ктического воздействия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ind w:left="0" w:right="0" w:firstLine="540"/>
        <w:jc w:val="both"/>
        <w:spacing w:before="0" w:after="0" w:line="180" w:lineRule="atLeast"/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**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НПА автономного округа, при разработке которых оценка регулирующего воздействия (далее – ОРВ) проведена в специальном порядке подлежат экспертизе по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истечении 6 месяцев со дня вступления в силу.(п.1.5 Порядка проведения ОРВ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утвержденного постановлением Правительства автономного округа </w:t>
        <w:br/>
        <w:t xml:space="preserve">от 30 августа 2013 8года № 328-п)</w: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sz w:val="20"/>
          <w:szCs w:val="20"/>
        </w:rPr>
      </w:r>
    </w:p>
    <w:sectPr>
      <w:headerReference w:type="first" r:id="rId9"/>
      <w:footnotePr/>
      <w:endnotePr/>
      <w:type w:val="nextPage"/>
      <w:pgSz w:w="16838" w:h="11906" w:orient="landscape"/>
      <w:pgMar w:top="709" w:right="1418" w:bottom="851" w:left="1134" w:header="709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fldSimple w:instr="PAGE \* MERGEFORMAT">
      <w:r>
        <w:t xml:space="preserve">1</w:t>
      </w:r>
    </w:fldSimple>
    <w:r/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2."/>
      <w:lvlJc w:val="left"/>
      <w:pPr>
        <w:ind w:left="1571" w:hanging="720"/>
      </w:pPr>
      <w:rPr>
        <w:rFonts w:ascii="Times New Roman" w:hAnsi="Times New Roman" w:eastAsia="Calibri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57"/>
    <w:link w:val="855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857"/>
    <w:link w:val="85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7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7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57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4"/>
    <w:next w:val="854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57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4"/>
    <w:next w:val="854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7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4"/>
    <w:next w:val="854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7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4"/>
    <w:next w:val="854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7"/>
    <w:link w:val="702"/>
    <w:uiPriority w:val="10"/>
    <w:rPr>
      <w:sz w:val="48"/>
      <w:szCs w:val="48"/>
    </w:rPr>
  </w:style>
  <w:style w:type="paragraph" w:styleId="704">
    <w:name w:val="Subtitle"/>
    <w:basedOn w:val="854"/>
    <w:next w:val="854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7"/>
    <w:link w:val="704"/>
    <w:uiPriority w:val="11"/>
    <w:rPr>
      <w:sz w:val="24"/>
      <w:szCs w:val="24"/>
    </w:rPr>
  </w:style>
  <w:style w:type="paragraph" w:styleId="706">
    <w:name w:val="Quote"/>
    <w:basedOn w:val="854"/>
    <w:next w:val="854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4"/>
    <w:next w:val="854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7"/>
    <w:link w:val="865"/>
    <w:uiPriority w:val="99"/>
  </w:style>
  <w:style w:type="character" w:styleId="711">
    <w:name w:val="Footer Char"/>
    <w:basedOn w:val="857"/>
    <w:link w:val="867"/>
    <w:uiPriority w:val="99"/>
  </w:style>
  <w:style w:type="paragraph" w:styleId="712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67"/>
    <w:uiPriority w:val="99"/>
  </w:style>
  <w:style w:type="table" w:styleId="714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Footnote Text Char"/>
    <w:link w:val="879"/>
    <w:uiPriority w:val="99"/>
    <w:rPr>
      <w:sz w:val="18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7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paragraph" w:styleId="855">
    <w:name w:val="Heading 1"/>
    <w:basedOn w:val="854"/>
    <w:next w:val="854"/>
    <w:link w:val="860"/>
    <w:uiPriority w:val="9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856">
    <w:name w:val="Heading 2"/>
    <w:basedOn w:val="854"/>
    <w:next w:val="854"/>
    <w:link w:val="861"/>
    <w:qFormat/>
    <w:pPr>
      <w:keepNext/>
      <w:spacing w:before="240" w:after="60" w:line="240" w:lineRule="auto"/>
      <w:outlineLvl w:val="1"/>
    </w:pPr>
    <w:rPr>
      <w:rFonts w:ascii="Arial" w:hAnsi="Arial" w:eastAsia="Times New Roman" w:cs="Times New Roman"/>
      <w:b/>
      <w:i/>
      <w:sz w:val="28"/>
      <w:szCs w:val="20"/>
      <w:lang w:eastAsia="ru-RU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 w:customStyle="1">
    <w:name w:val="Заголовок 1 Знак"/>
    <w:basedOn w:val="857"/>
    <w:link w:val="855"/>
    <w:uiPriority w:val="9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861" w:customStyle="1">
    <w:name w:val="Заголовок 2 Знак"/>
    <w:basedOn w:val="857"/>
    <w:link w:val="856"/>
    <w:rPr>
      <w:rFonts w:ascii="Arial" w:hAnsi="Arial" w:eastAsia="Times New Roman" w:cs="Times New Roman"/>
      <w:b/>
      <w:i/>
      <w:sz w:val="28"/>
      <w:szCs w:val="20"/>
      <w:lang w:eastAsia="ru-RU"/>
    </w:rPr>
  </w:style>
  <w:style w:type="numbering" w:styleId="862" w:customStyle="1">
    <w:name w:val="Нет списка1"/>
    <w:next w:val="859"/>
    <w:uiPriority w:val="99"/>
    <w:semiHidden/>
    <w:unhideWhenUsed/>
  </w:style>
  <w:style w:type="paragraph" w:styleId="863">
    <w:name w:val="Balloon Text"/>
    <w:basedOn w:val="854"/>
    <w:link w:val="864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864" w:customStyle="1">
    <w:name w:val="Текст выноски Знак"/>
    <w:basedOn w:val="857"/>
    <w:link w:val="86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65">
    <w:name w:val="Header"/>
    <w:basedOn w:val="854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6" w:customStyle="1">
    <w:name w:val="Верхний колонтитул Знак"/>
    <w:basedOn w:val="857"/>
    <w:link w:val="8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>
    <w:name w:val="Footer"/>
    <w:basedOn w:val="854"/>
    <w:link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8" w:customStyle="1">
    <w:name w:val="Нижний колонтитул Знак"/>
    <w:basedOn w:val="857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9" w:customStyle="1">
    <w:name w:val="Font Style13"/>
    <w:rPr>
      <w:rFonts w:ascii="Times New Roman" w:hAnsi="Times New Roman"/>
      <w:sz w:val="18"/>
    </w:rPr>
  </w:style>
  <w:style w:type="paragraph" w:styleId="870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  <w:lang w:eastAsia="ru-RU"/>
    </w:rPr>
  </w:style>
  <w:style w:type="numbering" w:styleId="871" w:customStyle="1">
    <w:name w:val="Нет списка2"/>
    <w:next w:val="859"/>
    <w:uiPriority w:val="99"/>
    <w:semiHidden/>
    <w:unhideWhenUsed/>
  </w:style>
  <w:style w:type="numbering" w:styleId="872" w:customStyle="1">
    <w:name w:val="Нет списка3"/>
    <w:next w:val="859"/>
    <w:uiPriority w:val="99"/>
    <w:semiHidden/>
    <w:unhideWhenUsed/>
  </w:style>
  <w:style w:type="numbering" w:styleId="873" w:customStyle="1">
    <w:name w:val="Нет списка4"/>
    <w:next w:val="859"/>
    <w:uiPriority w:val="99"/>
    <w:semiHidden/>
    <w:unhideWhenUsed/>
  </w:style>
  <w:style w:type="numbering" w:styleId="874" w:customStyle="1">
    <w:name w:val="Нет списка5"/>
    <w:next w:val="859"/>
    <w:uiPriority w:val="99"/>
    <w:semiHidden/>
    <w:unhideWhenUsed/>
  </w:style>
  <w:style w:type="numbering" w:styleId="875" w:customStyle="1">
    <w:name w:val="Нет списка6"/>
    <w:next w:val="859"/>
    <w:uiPriority w:val="99"/>
    <w:semiHidden/>
    <w:unhideWhenUsed/>
  </w:style>
  <w:style w:type="table" w:styleId="876">
    <w:name w:val="Table Grid"/>
    <w:basedOn w:val="85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List Paragraph"/>
    <w:basedOn w:val="854"/>
    <w:uiPriority w:val="34"/>
    <w:qFormat/>
    <w:pPr>
      <w:contextualSpacing/>
      <w:ind w:left="720"/>
    </w:pPr>
  </w:style>
  <w:style w:type="paragraph" w:styleId="87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79">
    <w:name w:val="footnote text"/>
    <w:basedOn w:val="854"/>
    <w:link w:val="880"/>
    <w:uiPriority w:val="99"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0" w:customStyle="1">
    <w:name w:val="Текст сноски Знак"/>
    <w:basedOn w:val="857"/>
    <w:link w:val="87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1">
    <w:name w:val="footnote reference"/>
    <w:uiPriority w:val="99"/>
    <w:semiHidden/>
    <w:unhideWhenUsed/>
    <w:rPr>
      <w:vertAlign w:val="superscript"/>
    </w:rPr>
  </w:style>
  <w:style w:type="table" w:styleId="882" w:customStyle="1">
    <w:name w:val="Сетка таблицы1"/>
    <w:basedOn w:val="858"/>
    <w:next w:val="876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3" w:customStyle="1">
    <w:name w:val="Сетка таблицы3"/>
    <w:basedOn w:val="858"/>
    <w:next w:val="876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4">
    <w:name w:val="Hyperlink"/>
    <w:basedOn w:val="857"/>
    <w:uiPriority w:val="99"/>
    <w:unhideWhenUsed/>
    <w:rPr>
      <w:color w:val="0000ff"/>
      <w:u w:val="single"/>
    </w:rPr>
  </w:style>
  <w:style w:type="character" w:styleId="885">
    <w:name w:val="annotation reference"/>
    <w:basedOn w:val="857"/>
    <w:uiPriority w:val="99"/>
    <w:semiHidden/>
    <w:unhideWhenUsed/>
    <w:rPr>
      <w:sz w:val="16"/>
      <w:szCs w:val="16"/>
    </w:rPr>
  </w:style>
  <w:style w:type="paragraph" w:styleId="886">
    <w:name w:val="annotation text"/>
    <w:basedOn w:val="854"/>
    <w:link w:val="88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7" w:customStyle="1">
    <w:name w:val="Текст примечания Знак"/>
    <w:basedOn w:val="857"/>
    <w:link w:val="886"/>
    <w:uiPriority w:val="99"/>
    <w:semiHidden/>
    <w:rPr>
      <w:sz w:val="20"/>
      <w:szCs w:val="20"/>
    </w:rPr>
  </w:style>
  <w:style w:type="paragraph" w:styleId="888">
    <w:name w:val="annotation subject"/>
    <w:basedOn w:val="886"/>
    <w:next w:val="886"/>
    <w:link w:val="889"/>
    <w:uiPriority w:val="99"/>
    <w:semiHidden/>
    <w:unhideWhenUsed/>
    <w:rPr>
      <w:b/>
      <w:bCs/>
    </w:rPr>
  </w:style>
  <w:style w:type="character" w:styleId="889" w:customStyle="1">
    <w:name w:val="Тема примечания Знак"/>
    <w:basedOn w:val="887"/>
    <w:link w:val="888"/>
    <w:uiPriority w:val="99"/>
    <w:semiHidden/>
    <w:rPr>
      <w:b/>
      <w:bCs/>
      <w:sz w:val="20"/>
      <w:szCs w:val="20"/>
    </w:rPr>
  </w:style>
  <w:style w:type="paragraph" w:styleId="890" w:customStyle="1">
    <w:name w:val="pt-a-000003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1" w:customStyle="1">
    <w:name w:val="pt-a0"/>
    <w:basedOn w:val="857"/>
  </w:style>
  <w:style w:type="paragraph" w:styleId="892" w:customStyle="1">
    <w:name w:val="pt-affb-000044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3" w:customStyle="1">
    <w:name w:val="pt-a0-000002"/>
    <w:basedOn w:val="857"/>
  </w:style>
  <w:style w:type="paragraph" w:styleId="894" w:customStyle="1">
    <w:name w:val="pt-normal-000018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5" w:customStyle="1">
    <w:name w:val="pt-defaultparagraphfont-000007"/>
    <w:basedOn w:val="857"/>
  </w:style>
  <w:style w:type="paragraph" w:styleId="896" w:customStyle="1">
    <w:name w:val="pt-normal-000019"/>
    <w:basedOn w:val="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96C7-F2D6-44C6-B011-A73BCBB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revision>23</cp:revision>
  <dcterms:created xsi:type="dcterms:W3CDTF">2022-12-22T09:23:00Z</dcterms:created>
  <dcterms:modified xsi:type="dcterms:W3CDTF">2023-12-28T11:50:49Z</dcterms:modified>
</cp:coreProperties>
</file>