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заключению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едложений участников публичных консультаций, направленных на улучшение обсуждаемой редакции проекта закона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Ханты-Мансийского автономного </w:t>
        <w:br/>
        <w:t xml:space="preserve">округа – Югры «О внесении изменений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отдельные законы Ханты-Мансийского автономного округа – Югры»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69"/>
        <w:tblW w:w="1393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67"/>
        <w:gridCol w:w="2638"/>
        <w:gridCol w:w="8837"/>
        <w:gridCol w:w="1893"/>
      </w:tblGrid>
      <w:tr>
        <w:tblPrEx/>
        <w:trPr>
          <w:trHeight w:val="288"/>
        </w:trPr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обсуждения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Позиция участника обсуждения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Статус рассмотрения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35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Белоярского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 предлагаемой измененной редакции статьи 2 Закона от 18.10.2019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года № 60 «О регулировании отдельных отношений в области обращения с животными на территории Ханты-Мансийского автономного округа – Югры» формулировку понятия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самовыгул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изложить в следующей редакции: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самовыгул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- тип содержания домашних животных, при к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отором предполагаются их самостоятельные прогулки на открытом воздухе вне места постоянного содержания без сопровождения владельца животного либо лица, его заменяющего, или с владельцем либо лицом заменяющего его без использования специальных удерживающих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устройств  (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поводок, шлейка и т.д.).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Кроме этого предлагаем ввести формулировку понятия "Выгул".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- выгул домашних животных на открытом воздухе вне места постоянного содержания в сопровождения владельца животного либо лица, его заменяющего, осуществляется с использованием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специальных удерживающих устройств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обеспечивающих контроль над животным. (поводок, шлейка,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электроповодок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и т.д.) за исключением мест, разрешённых решением органа местного самоуправления для выгула животных», или более короткую версию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-  свободный выгул домашнего животного – выгул животного без применения принадлежностей (поводок/шлейка и намордник), обеспечивающих безопасность других животных и граждан.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Частично учтено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34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Белоярского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одпункт 6 пункта 1 статьи 4.2. изложить в новой редакции: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«6). умерщвление животных в случае необходимости прекращения непереносимых физических страданий нежизнеспособных живот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ных при наличии последствий острой травмы, несовместимых с жизнью животного, или достоверно установленных тяжелого неизлечимого заболевания животного или неизлечимых последствий заболевания, несовместимых с жизнью такого животного, установление животных, п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редставляющих опасность для человека, в том числе при установлении наличия у них признаков немотивированной агрессивности, специалистом в области ветеринарии (умерщвление производится в пунктах (местах) временного содержания после проведения обязательного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карантинирования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животного) гуманными методами, гарантирующими быструю и безболезненную смерть.».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65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Белоярского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татью 4.3 дополнить пунктом 4 следующего содержания: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«4. Владельцы мест и пунктов временного содержания животных осуществляют поиск прежнего или нового владельца для животного, путем размещения в соответс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твии с частью 9 статьи 16 Федерального закона в информационно-телекоммуникационной сети Интернет сведений о находящихся в местах и пунктах временного содержания зарегистрированных животных и животных, от права собственности на которых владельцы отказались.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 местах и пунктах временного содержания для животных содержание животных без владельцев осуществляется за счет собственных средств и (или) иных разрешенных законодательством источников финансирования.»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2464"/>
        </w:trPr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Белоярского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4.Дополнить статьей 4.4: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«Статья 4.4. Порядок осуществления мероприятий в приютах для животных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Владельцы приютов для животных осуществляют поиск прежнего или нового владельца для животного, путем размещения в соответс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твии с частью 9 статьи 16 Федерального закона в информационно-телекоммуникационной сети Интернет сведений о находящихся в местах и пунктах временного содержания зарегистрированных животных и животных, от права собственности на которых владельцы отказались.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 приютах для животных содержание животных без владельцев осуществляется за счет собственных средств и (или) разрешенных законодательством источников финансирования.»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70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1.Дополнить п.1 статьи 1 Проекта понятием «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самовыгул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домашнего животного (отсутствие контроля со стороны владельца домашнего животного)».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23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870"/>
              <w:jc w:val="both"/>
              <w:spacing w:after="0" w:line="240" w:lineRule="auto"/>
              <w:rPr>
                <w:rStyle w:val="871"/>
                <w:rFonts w:cs="Times New Roman"/>
                <w:sz w:val="22"/>
                <w:szCs w:val="22"/>
              </w:rPr>
            </w:pP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  <w:t xml:space="preserve">2.В п.3 Ста</w:t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  <w:t xml:space="preserve">тьи 1 Проекта: в подпункте 3, 4, 5, 7 пункта 3 Статьи 4.2 «Порядок осуществления деятельности по обращению с животными без владельцев и перечень мероприятий при осуществлении такой деятельности на территории автономного округа» исключить слова «поселения».</w:t>
            </w:r>
            <w:r>
              <w:rPr>
                <w:rStyle w:val="871"/>
                <w:rFonts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86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Общественный Фонд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&lt;chizh_nv@mail.ru&gt;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 каком разделе на сайте АИС «Домашние животные» можно увидеть отловленных животных? Мы нигде не видим этой базы.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eastAsia="Times New Roman" w:cs="Times New Roman"/>
                <w:sz w:val="22"/>
                <w:szCs w:val="22"/>
              </w:rPr>
            </w:r>
            <w:r>
              <w:rPr>
                <w:rFonts w:eastAsia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.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Общественный Фонд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&lt;chizh_nv@mail.ru&gt;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870"/>
              <w:jc w:val="both"/>
              <w:spacing w:after="0" w:line="240" w:lineRule="auto"/>
              <w:rPr>
                <w:rStyle w:val="871"/>
                <w:rFonts w:cs="Times New Roman"/>
                <w:sz w:val="22"/>
                <w:szCs w:val="22"/>
              </w:rPr>
            </w:pP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  <w:t xml:space="preserve"> К</w:t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  <w:t xml:space="preserve">то в г. Нижневартовск является уполномоченным исполнительного органа автономного округа в сфере осуществления деятельности по обращению с животными без владельцев?</w:t>
            </w:r>
            <w:r>
              <w:rPr>
                <w:rStyle w:val="871"/>
                <w:rFonts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171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Региональное общественное движение помощи бездомным животным «Дай лапу»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870"/>
              <w:jc w:val="both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Предлагается внести </w:t>
            </w:r>
            <w:r>
              <w:rPr>
                <w:rFonts w:cs="Times New Roman"/>
                <w:sz w:val="22"/>
                <w:szCs w:val="22"/>
              </w:rPr>
              <w:t xml:space="preserve">изменения в </w:t>
            </w:r>
            <w:r>
              <w:rPr>
                <w:rFonts w:cs="Times New Roman"/>
                <w:sz w:val="22"/>
                <w:szCs w:val="22"/>
              </w:rPr>
              <w:t xml:space="preserve">пп.3 пункта 1 статьи 4.2. проекта Закона изложить в следующей редакции: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870"/>
              <w:jc w:val="both"/>
              <w:spacing w:after="0" w:line="240" w:lineRule="auto"/>
              <w:rPr>
                <w:rStyle w:val="871"/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«3)</w:t>
            </w:r>
            <w:r>
              <w:rPr>
                <w:rFonts w:cs="Times New Roman"/>
                <w:sz w:val="22"/>
                <w:szCs w:val="22"/>
              </w:rPr>
              <w:tab/>
              <w:t xml:space="preserve">возврат потерявшихся животных их владельцам, а также по</w:t>
            </w:r>
            <w:r>
              <w:rPr>
                <w:rFonts w:cs="Times New Roman"/>
                <w:sz w:val="22"/>
                <w:szCs w:val="22"/>
              </w:rPr>
              <w:t xml:space="preserve">иск новых владельцев поступившим в приют или в пункт (место) временного содержания животным без владельцев, в случае не нахождения нового владельца животному без владельца в течение шести месяцев, данное животное переходит в собственность муниципалитета.».</w:t>
            </w:r>
            <w:r>
              <w:rPr>
                <w:rStyle w:val="871"/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Учтено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55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Региональное общественное движение помощи бездомным животным «Дай лапу»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870"/>
              <w:jc w:val="both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Предлагается внести изменения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</w:rPr>
              <w:t xml:space="preserve">п. 2 статьи 4.3 проекта Закона изложить в следующей редакции: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870"/>
              <w:jc w:val="both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«2. 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местах и пунктах временного содержания животных ведутся регистрация и учет поступивших и выбывших животных без владельцев с фиксацией всех мероприятий, проводимых с ними в АИС «Домашние животные» в течение суток со дня поступления или выбытия животного.».</w:t>
            </w: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Учтено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Сопыряев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Андрей sopyryaevav@admrad.ru (sopyryaevav@admrad.ru)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Проект Закона направлен на решение актуальной проблемы в области обращения с животными без владельцев на территории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18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Сопыряев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Андрей sopyryaevav@admrad.ru (sopyryaevav@admrad.ru)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Проект разработан в соответствии с 498-ФЗ, необходимость принятых решений обусловлено проблемой в области обращения с животными в части содержания животных без владельцев на территории автономного округа.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8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Сопыряев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Андрей sopyryaevav@admrad.ru (sopyryaevav@admrad.ru)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Варианты принятых решений оптимальны, так как окажут положительное влияние в решении проблемы животных без владельцев, и помогут снизить социальную напряженность на территории округа.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870"/>
              <w:jc w:val="center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Учтено</w: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708"/>
        </w:trPr>
        <w:tc>
          <w:tcPr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В закон 60-оз (также 89-оз), вносится понятие «места и пункты временного содержания», ПВС. При этом, каких- либо содержательных требований к самим местам и пунктам не у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станавливается, что на практике создаёт как минимум правовую неопределённость, а также несёт в себе значительные риски, в том числе риски нарушения законодательства в области обращения с животными, ведёт к жалобам в надзорные органы на постоянной основе в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отношен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ии таких пунктов в связи со спецификой данных пунктов.  Подобные решения не упрощают деятельность в области обращения с животными, но усложняют.  В условиях необходимости достоверного контроля расходования финансовых средств, введение данного понятия, подм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еняющего приюты для животных, создаёт так же риски «переквалификации» действующих приютов в пункты ПВС, что позволяет им сменив табличку на входе, стать пунктом ПВС и не соблюдать требования, установленные законодательством.  В том числе использовать разли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чные недобросовестные уловки по отношению к животным в нарушение установленных принципов гуманности и установленной ответственности.  Отсутствует должный контроль передачи животных новым владельцам.  Если в нескольких удалённых населённых пунктах ХМАО отсу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тствуют приюты, данное не означает, что необходимо «подгонять» всё законодательство для них и вводить пункты временного содержания.  Ранее, в федеральном законодательстве был установлен прямой запрет на пункты временного содержания, и такой запрет был сове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ршенно обоснованным.  Согласно принятой в ХМАО Концепции 451-рп: последний абзац раздела II, первый абзац раздела III, раздел IV второй пункт 5, раздел VI, округ почти на 100% должен быть обеспечен именно приютами для животных, но не ПВС, поэтому введение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ПВС бессмысленно.  Обеспечение приютами прямо предусмотрено ранее, сейчас же от данной Концепции отходят, отказываясь от данного ранее принятого направления по приютам. В таком случае благодаря непоследовательности цели данного документа рискуют быть недос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тижимыми.  В связи с этим введение пунктов ПВС является излишним.  Введение новых терминов и определений, не предусмотренных законодательством, в том или ином региональном законе, требует тщательной проработки и в принципе не всегда является необходимым. 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С термином «немотивированная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агрессивность» традиционно возникают сложности в практике применения, особенно если определение такой агрессивности проходит в пунктах временного содержания, предусмотренное проектом.  Отсутствие контроля за подобной процедурой и требований к квалификации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лиц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 проводящих процедуру и иные аспекты, могут приводить к неверным результатам, в том числе приписыванию впоследствии «немотивированной агрессивности» всем подряд животным. 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Частично учтено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58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закон 89-оз планируется изменение, исключающее полномочие у муниципалитетов на возврат животных в прежние места обитания.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помещением животных в приюты без возврата на прежние места обитания.  Подобные изменения, необходимо рассматривать с учётом мнения и волеизъявления органов местного самоуправления.  В особенности учитывая тот момент, что разработчиками подобного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образом предполагается возложение финансового бремени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алитеты, то есть через полгода содержания животного, содержать его должен будет муниципалитет, а регион от такого обязательства по содержанию отказывается.  Федеральным законом предусмотрена программа ОСВВ с возвратом животных в прежние места обитания, поэ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тому регион, отклоняясь от данной нормы принимая региональный законодательный акт, берёт на себя ответственность за подобные решения, в том числе финансовую ответственность. В соответствии с постановлениями высших судов РФ, переложение регионом подобной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ветственности на муниципалитеты недопустимо.  Поэтому региональное финансирование муниципалитетам необходимо увеличить на решение данного вопроса, тогда решать проблему животных без владельцев они смогут в рамках закона, это должно являться предметом совме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стного ведения, в том числе в вопросах финансирования строительства приютов.  Чтобы помещать животных в приюты, для начала необходимо в достаточном количестве такие приюты создать.  Целесообразность введения в 89-оз подпункта: «4) размещение в приютах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животных или в местах и пунктах временного содержания животных и содержание в них животных без владельцев, до момента передачи таких животных новым владельцам» является сомнительной, так как подобное уже заложено в планируемом подпункте 2). Так же, опасаяс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за животное, не доверяя службам отлова, при условиях невозврата животных граждане перестанут вызывать службу отлова животных для стерилизации и вакцинации животного, что на постоянной основе будет приводить к новым виткам размножения нестерилизованных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невакцинированных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животных.  В целом проблема недоверия граждан к исполнителям контрактов является существенной.   Так же изъятие животных, в частности собак, из их мест обитания приводит к появлению диких животных в чёрте населённых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пунктов, что приводит к вспышкам заболеваний от диких животных, особенно в период повышения заболеваемости среди диких животных.  В условиях бесконечного поступления животных на улицу, на место изъятых животных придут другие нестерилизованные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невакцинированные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самовыгульные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выброшенные и дикие животные. Появление диких животных наблюдается в особенности в городах Нижневартовск,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Мегион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Сургут.  Мониторинг состояния популяции животных без владельцев и вакцинация диких животных поедаемыми вакцинами являются мероприятиями, общую эффективность которых определить крайне затр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уднительно. Если бы было всё так просто, то подобными проектами проблема была бы уже давно решена. Но она не решена, и не решится, всё это давно пройдено. В целом подобными проектами необходимость внесения каких-либо значимых изменений в законы отсутствует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Более того, данные вопросы уже регулируются соответствующим федеральным законодательством и постановлениями Правительства ХМАО – Югры. При этом, в условиях отсутствия правового регулирования вопросов разведения животных, то есть отсутствия моратория на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азведение, все подобные меры являются системно ничего не решающими. На федеральном уровне при содействии региональных властей необходим элементарный запрет на размножение животных частными лицами или организациями, с механизмом контроля за его соблюдением.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7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  <w:t xml:space="preserve">Учтено</w:t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871"/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93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Исходя из практики, при использовании подобной техники проектиров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ания нормативных актов, на выходе получается нерабочий акт. Происходит следующее: мы принимаем ПВС в законе, но при этом мы не знаем, что такое ПВС и не видим требований к ним, ссылаясь только на последующую разработку нормативных актов и требований к ПВС.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этапе разработки требований в последующем выяснится, что существенных требований так же не будет установлено.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предыдущих проектах разработчик требования устанавливал, в данном проекте требования уже отсутствуют.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 же в целом неизвестны сроки принятия таких требований и нормативных акто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в, что создаёт предпосылки к аналогичной ситуации – в законе ПВС присутствует, но требований к ним нет. Период между принятием изменений в закон и принятием нормативных актов к ПВС выводит из правового регулирования данную сферу, создавая неопределённость.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 же самое относится к разработке остальных правовых актов, дробление разработки не позволяет оценить всю правовую конструкцию.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целом, внесение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предполагающих ПВС, необходимо рассматривать одновременно с уже разработанными требованиями, чтобы видеть согласованность с иными региональными и федеральными законодательными актами.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этом, концепция введения ПВС изначально не может поддержана, разногласия не могут быть урегулированы.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289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одной и той же 18 статье закона, в одной и той же части 5, в одном и том же предложении содержится одновременно «можно» и «нельзя», что является неким нонсенсом.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пунктов ПВС является правом, но не обязанностью.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Ранее в Ветслужбу были направлены предложения и замечания, которые не были учтены.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частности, помимо прочего, необходимы: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Возможность посещения ПВС, аналогичная установленной в ст. 16 часть 12, 498-ФЗ.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Регламентация мероприятия: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«Животных, содержащихся в пунктах (местах), умерщвлять запрещено, за исключением случаев необходимости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 Запрещается умерщвление животного в бодрствующем состоянии, а также на виду у других животных.».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Так как мероприятие, предусмотренное пунктом выше, сопровождается ответственностью, предусмотренной законодательством, требования к таким мероприятиям так же должны быть регламентированы и контролируемы.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Регламентация процедуры, аналогично пункту 43 Постановления 118-П: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 целях гуманного обращения с животными должны быть выбраны наименее травматические методы введения препаратов с учетом размеров, физиологических и анатомических особенностей животных. Выбранный метод эвтаназии должен вызывать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потерю сознания путем погружения в глубокий наркоз, а затем вызывать смерть посредством остановки сердца или прекращения работы центра дыхания. Специалист в области ветеринарии, выполнивший эвтаназию, должен удостовериться в том, что животное умерщвлено.»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Необходима регламентация использования препаратов, в частности предусмотрев препараты которые разрешено использоват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в процессе подобной процедуры.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учтено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453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предложен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ия не являются новыми, являются следствием обсуждения вопроса об отсутствии требований и об отсутствии сроков их разработки и входят в обсуждённые ранее вопросы, а также являются ответом на запрос об урегулировании разногласий по данному Вами ранее ответу.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этим был направлен ответ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неурегулировании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разногласий, так как в проекте отсутствуют данные требования.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Разногласия по вопросу введения ПВС можно считать урегулированными, с оговоркой: в текущем законопроекте необходим установленный запрет на эвтаназию, в формулировке аналогичной регулированию для приютов, которая и обсуждалась ранее.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регламентацией такой процедуры, которая обсуждалась ранее.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посещения ПВС, аналогичная установленной в ст. 16 часть 12, 498-ФЗ.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Важно касаемо норм о ПВС, установить в текущем проекте законов даты вступления в силу изменений в законы, даты должны совпадать с датой вступления в силу разрабатываемых требований к ПВС, согласно нормам 1 сентября.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 как данное отсутствует в непосредственно обсуждаемом проекте, на данный момент разногласия считать неурегулированными.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Учтено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266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Art  (tbt4hwqpnk7f@mail.ru)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Касаемо последующей разработки: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требования к ПВС, которые планируются к разработке уже в последующем,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Постановления Правительства ХМАО - Югры: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Включить регламентацию разрешённых к использованию препаратов, которая обсуждалась ранее.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Предусмотреть возможность передачи процедуры эвтаназии для её проведения специалистами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Ветцентра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либо для контроля специалистами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Ветцентра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передачи им полномочий на процедуру.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в) Регулирование мероприятий: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карантинирование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стерилизация, вакцинация, учёт.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г) А также требования, суть которых в целом сводится к следующему: у животного есть тёплое укрытие, еда, при необходимости лечение, осуществляется уборка и дезинфекция. Животное живое и ему в том числе предоставлена возможность обрести настоящих хозяев.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 и все обсуждения, необходимо установить данные требования и урегулировать данный вопрос.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Устанавливаемые нормы во всех правовых актах должны быть контролируемы, в том числе посредством административной и иной ответственности - региональной, федеральной.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учтено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21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Ханты-Мансийска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Пунктом 3 статьи 1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конопроекта предлагается дополнить Закон Ханты-Мансийского автономного округа – Югры от 18 октября 2019 года № 60-оз «О регулировании отдельных отношений в области обращения с животными на территории Ханты-Мансийского автономного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 – Югры» в том числе подпункту 5 пункту 1статьей 4.2, согласно которой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органы местного самоуправления возложена обязанность ведения просветительской работы с привлечением организаций, осуществляющих деятельность в области обращения с животными, общественных организаций, общественных инспекторов и других заинтересованных лиц.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Вместе с тем Законом Ханты-Мансийского автономного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 – Югры от 10 декабря 2019 года № 89-оз «О наделении органов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– Югры отдельным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осударственным полномочием по организации мероприятий при осуществлении деятельности по обращению с животными без владельцев» (далее - Закон от 10.12.2019 №89-оз) органы местного самоуправления не наделены полномочиями ведения просветительской деятельности.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этой связи, предлагаем изложить подпункт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статьи 4.2 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«5) пропаганда формирования ответственного и гуманного отношения к животным. Просветительская работа осуществляется уполномоченным органом исполнительной власти (далее – организаторы просветительской деятельности), с привлече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органов местного самоуправления автономного округа, организаций, осуществляющих деятельность в области обращения с животными, общественных организаций, общественных инспекторов и других заинтересованных лиц. Информация о мероприятиях просветительской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размещается организаторами просветительской деятельности на их официальных сайтах, официальных страницах для размещения информации о своей деятельности в сети Интернет.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учтено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84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Администрация города Ханты-Мансийска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Законопроектом предлагается внести изменения в Закон от 10.12.2019 №89-оз, исключив возможность возврата отловленных животных на прежние места их обитания.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Отлов животных без возврата на прежнее место обитания влечет увеличение финансирования на содержание в приютах невостребованн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ых животных (до наступления естественной смерти). На сегодняшний день большая часть доведенных средств оплачивается именно за ежедневное содержание животных в приюте. Запрет на выпуск животных в прежнюю среду обитания, подразумевает увеличение численности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животных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подлежащих содержанию длительное время.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Вместе с тем,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субвенция,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предоставляемая из бюджета Ханты-Мансийского автономного округа – Югры на осуществление деятельности по обращению с животными без владельцев, не обеспечивает в полном объеме финансовую потребность на осуществление переданных полномочий.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Правово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е регулирование, предлагаемое законопроектом, отвечает принципам гуманности, но не отвечает принципам разумности трат, в том числе ставит под угрозу исполнение органами публичной власти приоритетных вопросов обеспечения жизнедеятельности населения региона.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Концепция как законопроекта, так и действующего правового регулирования не влияет на первоисточник возникновения уличных собак.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Также имеется практика, отраженная в Законе Республики Бурятия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от 16 ноября 2023 года № 185-VII, разделяющая животных на две категории с целью необходимой защиты конституционных прав граждан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 охрану здоровья и благоприятную окружающую среду, личную неприкосновенность и безопасность, обеспечения эпизоотического и ветеринарно-санитарного благополучия в Республике Бурятия с соблюдением принципа гуманности по отношению к животным без владельцев: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1) «зарегистрированные животные» - имеющие отметку о первичном наличии владельца и подлежащие возврату на прежние места обитания после их отлова, поиска владельца и его не нахождения;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2) «животные без владельцев», которые не имеют отметок и по истечении 30 дней при не нахождении владельца подлежат умерщвлению в пункте временного пребывания гуманными методами.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Данная концепция влечет за собой осознанные действия людей, которым не безразлично. А именно, жители Республики Бурятия,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имеющие животных, в страхе, что животное, при его потере, обусловленной непредвиденными обстоятельствами, может быть отловлено и уничтожено, пойдут в добровольном порядке проводить процедуру его регистрации, что и является необходимым для достижения цели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ненахождения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безнадзорных животных на общественных территориях.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Влиять на первопричину решаемой проблематики можно различными способами и нет сомнений, что органы власти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Ханты-Мансийского автономного округа – Югры при поддержке муниципальных образований, депутатов и общественности имеют достаточные компетенции и ресурсы выбрать наилучший способ для решения вопроса возникновения безнадзорных животных.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72"/>
              <w:jc w:val="center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418" w:right="1276" w:bottom="1418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/>
      </w:rPr>
      <w:t xml:space="preserve">19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</w:p>
  <w:p>
    <w:pPr>
      <w:pStyle w:val="71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r/>
    <w:r/>
  </w:p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711"/>
    <w:uiPriority w:val="10"/>
    <w:rPr>
      <w:sz w:val="48"/>
      <w:szCs w:val="48"/>
    </w:rPr>
  </w:style>
  <w:style w:type="character" w:styleId="37">
    <w:name w:val="Subtitle Char"/>
    <w:basedOn w:val="697"/>
    <w:link w:val="713"/>
    <w:uiPriority w:val="11"/>
    <w:rPr>
      <w:sz w:val="24"/>
      <w:szCs w:val="24"/>
    </w:rPr>
  </w:style>
  <w:style w:type="character" w:styleId="39">
    <w:name w:val="Quote Char"/>
    <w:link w:val="715"/>
    <w:uiPriority w:val="29"/>
    <w:rPr>
      <w:i/>
    </w:rPr>
  </w:style>
  <w:style w:type="character" w:styleId="41">
    <w:name w:val="Intense Quote Char"/>
    <w:link w:val="717"/>
    <w:uiPriority w:val="30"/>
    <w:rPr>
      <w:i/>
    </w:rPr>
  </w:style>
  <w:style w:type="character" w:styleId="43">
    <w:name w:val="Header Char"/>
    <w:basedOn w:val="697"/>
    <w:link w:val="719"/>
    <w:uiPriority w:val="99"/>
  </w:style>
  <w:style w:type="character" w:styleId="47">
    <w:name w:val="Caption Char"/>
    <w:basedOn w:val="723"/>
    <w:link w:val="721"/>
    <w:uiPriority w:val="99"/>
  </w:style>
  <w:style w:type="character" w:styleId="176">
    <w:name w:val="Footnote Text Char"/>
    <w:link w:val="851"/>
    <w:uiPriority w:val="99"/>
    <w:rPr>
      <w:sz w:val="18"/>
    </w:rPr>
  </w:style>
  <w:style w:type="character" w:styleId="179">
    <w:name w:val="Endnote Text Char"/>
    <w:link w:val="854"/>
    <w:uiPriority w:val="99"/>
    <w:rPr>
      <w:sz w:val="20"/>
    </w:r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9">
    <w:name w:val="Heading 2"/>
    <w:basedOn w:val="687"/>
    <w:next w:val="687"/>
    <w:link w:val="70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0">
    <w:name w:val="Heading 3"/>
    <w:basedOn w:val="687"/>
    <w:next w:val="687"/>
    <w:link w:val="70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1">
    <w:name w:val="Heading 4"/>
    <w:basedOn w:val="687"/>
    <w:next w:val="687"/>
    <w:link w:val="70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687"/>
    <w:next w:val="687"/>
    <w:link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3">
    <w:name w:val="Heading 6"/>
    <w:basedOn w:val="687"/>
    <w:next w:val="687"/>
    <w:link w:val="70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4">
    <w:name w:val="Heading 7"/>
    <w:basedOn w:val="687"/>
    <w:next w:val="687"/>
    <w:link w:val="70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5">
    <w:name w:val="Heading 8"/>
    <w:basedOn w:val="687"/>
    <w:next w:val="687"/>
    <w:link w:val="70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6">
    <w:name w:val="Heading 9"/>
    <w:basedOn w:val="687"/>
    <w:next w:val="687"/>
    <w:link w:val="70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701" w:customStyle="1">
    <w:name w:val="Заголовок 2 Знак"/>
    <w:basedOn w:val="697"/>
    <w:link w:val="689"/>
    <w:uiPriority w:val="9"/>
    <w:rPr>
      <w:rFonts w:ascii="Arial" w:hAnsi="Arial" w:eastAsia="Arial" w:cs="Arial"/>
      <w:sz w:val="34"/>
    </w:rPr>
  </w:style>
  <w:style w:type="character" w:styleId="702" w:customStyle="1">
    <w:name w:val="Заголовок 3 Знак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703" w:customStyle="1">
    <w:name w:val="Заголовок 4 Знак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704" w:customStyle="1">
    <w:name w:val="Заголовок 5 Знак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5" w:customStyle="1">
    <w:name w:val="Заголовок 6 Знак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06" w:customStyle="1">
    <w:name w:val="Заголовок 7 Знак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08" w:customStyle="1">
    <w:name w:val="Заголовок 9 Знак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687"/>
    <w:uiPriority w:val="34"/>
    <w:qFormat/>
    <w:pPr>
      <w:contextualSpacing/>
      <w:ind w:left="720"/>
    </w:pPr>
  </w:style>
  <w:style w:type="paragraph" w:styleId="710">
    <w:name w:val="No Spacing"/>
    <w:uiPriority w:val="1"/>
    <w:qFormat/>
    <w:pPr>
      <w:spacing w:after="0" w:line="240" w:lineRule="auto"/>
    </w:pPr>
  </w:style>
  <w:style w:type="paragraph" w:styleId="711">
    <w:name w:val="Title"/>
    <w:basedOn w:val="687"/>
    <w:next w:val="687"/>
    <w:link w:val="712"/>
    <w:uiPriority w:val="10"/>
    <w:qFormat/>
    <w:pPr>
      <w:contextualSpacing/>
      <w:spacing w:before="300"/>
    </w:pPr>
    <w:rPr>
      <w:sz w:val="48"/>
      <w:szCs w:val="48"/>
    </w:rPr>
  </w:style>
  <w:style w:type="character" w:styleId="712" w:customStyle="1">
    <w:name w:val="Заголовок Знак"/>
    <w:basedOn w:val="697"/>
    <w:link w:val="711"/>
    <w:uiPriority w:val="10"/>
    <w:rPr>
      <w:sz w:val="48"/>
      <w:szCs w:val="48"/>
    </w:rPr>
  </w:style>
  <w:style w:type="paragraph" w:styleId="713">
    <w:name w:val="Subtitle"/>
    <w:basedOn w:val="687"/>
    <w:next w:val="687"/>
    <w:link w:val="714"/>
    <w:uiPriority w:val="11"/>
    <w:qFormat/>
    <w:pPr>
      <w:spacing w:before="200"/>
    </w:pPr>
    <w:rPr>
      <w:sz w:val="24"/>
      <w:szCs w:val="24"/>
    </w:rPr>
  </w:style>
  <w:style w:type="character" w:styleId="714" w:customStyle="1">
    <w:name w:val="Подзаголовок Знак"/>
    <w:basedOn w:val="697"/>
    <w:link w:val="713"/>
    <w:uiPriority w:val="11"/>
    <w:rPr>
      <w:sz w:val="24"/>
      <w:szCs w:val="24"/>
    </w:rPr>
  </w:style>
  <w:style w:type="paragraph" w:styleId="715">
    <w:name w:val="Quote"/>
    <w:basedOn w:val="687"/>
    <w:next w:val="687"/>
    <w:link w:val="716"/>
    <w:uiPriority w:val="29"/>
    <w:qFormat/>
    <w:pPr>
      <w:ind w:left="720" w:right="720"/>
    </w:pPr>
    <w:rPr>
      <w:i/>
    </w:r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7"/>
    <w:next w:val="687"/>
    <w:link w:val="71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87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basedOn w:val="697"/>
    <w:link w:val="719"/>
    <w:uiPriority w:val="99"/>
  </w:style>
  <w:style w:type="paragraph" w:styleId="721">
    <w:name w:val="Footer"/>
    <w:basedOn w:val="687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97"/>
    <w:uiPriority w:val="99"/>
  </w:style>
  <w:style w:type="paragraph" w:styleId="723">
    <w:name w:val="Caption"/>
    <w:basedOn w:val="687"/>
    <w:next w:val="68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4" w:customStyle="1">
    <w:name w:val="Нижний колонтитул Знак"/>
    <w:link w:val="721"/>
    <w:uiPriority w:val="99"/>
  </w:style>
  <w:style w:type="table" w:styleId="725" w:customStyle="1">
    <w:name w:val="Table Grid Light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9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687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97"/>
    <w:uiPriority w:val="99"/>
    <w:unhideWhenUsed/>
    <w:rPr>
      <w:vertAlign w:val="superscript"/>
    </w:rPr>
  </w:style>
  <w:style w:type="paragraph" w:styleId="854">
    <w:name w:val="endnote text"/>
    <w:basedOn w:val="687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97"/>
    <w:uiPriority w:val="99"/>
    <w:semiHidden/>
    <w:unhideWhenUsed/>
    <w:rPr>
      <w:vertAlign w:val="superscript"/>
    </w:rPr>
  </w:style>
  <w:style w:type="paragraph" w:styleId="857">
    <w:name w:val="toc 1"/>
    <w:basedOn w:val="687"/>
    <w:next w:val="687"/>
    <w:uiPriority w:val="39"/>
    <w:unhideWhenUsed/>
    <w:pPr>
      <w:spacing w:after="57"/>
    </w:pPr>
  </w:style>
  <w:style w:type="paragraph" w:styleId="858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59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60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1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2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3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4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5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87"/>
    <w:next w:val="687"/>
    <w:uiPriority w:val="99"/>
    <w:unhideWhenUsed/>
    <w:pPr>
      <w:spacing w:after="0"/>
    </w:pPr>
  </w:style>
  <w:style w:type="table" w:styleId="868">
    <w:name w:val="Table Grid"/>
    <w:basedOn w:val="69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9" w:customStyle="1">
    <w:name w:val="table_body"/>
    <w:uiPriority w:val="99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sz="5" w:space="0"/>
        <w:left w:val="single" w:color="000000" w:sz="5" w:space="0"/>
        <w:bottom w:val="single" w:color="000000" w:sz="5" w:space="0"/>
        <w:right w:val="single" w:color="000000" w:sz="5" w:space="0"/>
        <w:insideH w:val="single" w:color="000000" w:sz="5" w:space="0"/>
        <w:insideV w:val="single" w:color="000000" w:sz="5" w:space="0"/>
      </w:tblBorders>
      <w:tblCellMar>
        <w:left w:w="50" w:type="dxa"/>
        <w:top w:w="50" w:type="dxa"/>
        <w:right w:w="50" w:type="dxa"/>
        <w:bottom w:w="50" w:type="dxa"/>
      </w:tblCellMar>
    </w:tblPr>
    <w:tcPr>
      <w:tcW w:w="0" w:type="auto"/>
    </w:tcPr>
  </w:style>
  <w:style w:type="paragraph" w:styleId="870" w:customStyle="1">
    <w:name w:val="Default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Calibri" w:cs="Arial Unicode MS"/>
      <w:color w:val="000000"/>
      <w:sz w:val="24"/>
    </w:rPr>
  </w:style>
  <w:style w:type="character" w:styleId="871" w:customStyle="1">
    <w:name w:val="pt-000004"/>
  </w:style>
  <w:style w:type="paragraph" w:styleId="872" w:customStyle="1">
    <w:name w:val="formattext"/>
    <w:basedOn w:val="6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>
    <w:name w:val="Balloon Text"/>
    <w:basedOn w:val="687"/>
    <w:link w:val="87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4" w:customStyle="1">
    <w:name w:val="Текст выноски Знак"/>
    <w:basedOn w:val="697"/>
    <w:link w:val="87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revision>16</cp:revision>
  <dcterms:created xsi:type="dcterms:W3CDTF">2024-03-05T11:06:00Z</dcterms:created>
  <dcterms:modified xsi:type="dcterms:W3CDTF">2024-03-06T10:13:01Z</dcterms:modified>
</cp:coreProperties>
</file>