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-13970</wp:posOffset>
                </wp:positionV>
                <wp:extent cx="676910" cy="612140"/>
                <wp:effectExtent l="0" t="0" r="8890" b="0"/>
                <wp:wrapTopAndBottom/>
                <wp:docPr id="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76910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7728;o:allowoverlap:true;o:allowincell:true;mso-position-horizontal-relative:margin;margin-left:201.95pt;mso-position-horizontal:absolute;mso-position-vertical-relative:text;margin-top:-1.10pt;mso-position-vertical:absolute;width:53.30pt;height:48.20pt;mso-wrap-distance-left:9.00pt;mso-wrap-distance-top:0.00pt;mso-wrap-distance-right:9.00pt;mso-wrap-distance-bottom:0.00pt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недропользования и природных ресурсов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Ханты-Мансийского автономного округа – Югры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(Депнедра и природных ресурсов Югры)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rFonts w:eastAsia="Calibri"/>
          <w:b/>
          <w:bCs/>
          <w:sz w:val="28"/>
          <w:szCs w:val="28"/>
          <w:highlight w:val="white"/>
        </w:rPr>
        <w:t xml:space="preserve">приложение к </w:t>
      </w:r>
      <w:r>
        <w:rPr>
          <w:b/>
          <w:bCs/>
          <w:sz w:val="28"/>
          <w:szCs w:val="28"/>
          <w:highlight w:val="white"/>
        </w:rPr>
        <w:t xml:space="preserve">приказу Департамента недропользования и природных р</w:t>
      </w:r>
      <w:r>
        <w:rPr>
          <w:b/>
          <w:bCs/>
          <w:sz w:val="28"/>
          <w:szCs w:val="28"/>
        </w:rPr>
        <w:t xml:space="preserve">есурсов </w:t>
      </w:r>
      <w:r>
        <w:rPr>
          <w:rFonts w:eastAsia="Calibri"/>
          <w:b/>
          <w:bCs/>
          <w:sz w:val="28"/>
          <w:szCs w:val="28"/>
        </w:rPr>
        <w:t xml:space="preserve">Ханты-Мансийского автономного округа – Югры</w:t>
      </w:r>
      <w:r>
        <w:rPr>
          <w:b/>
          <w:bCs/>
          <w:color w:val="000000"/>
          <w:sz w:val="28"/>
          <w:szCs w:val="28"/>
        </w:rPr>
        <w:t xml:space="preserve"> от 27 апреля 2018 года № 24-нп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Об утверждении Порядка добычи подземных вод для целей питьевого и хозяйственно-бытового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</w:t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288"/>
        <w:gridCol w:w="22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4" w:type="dxa"/>
            <w:textDirection w:val="lrTb"/>
            <w:noWrap w:val="false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4114"/>
              <w:gridCol w:w="4958"/>
            </w:tblGrid>
            <w:tr>
              <w:trPr/>
              <w:tc>
                <w:tcPr>
                  <w:shd w:val="clear" w:color="auto" w:fill="auto"/>
                  <w:tcW w:w="4114" w:type="dxa"/>
                  <w:textDirection w:val="lrTb"/>
                  <w:noWrap w:val="false"/>
                </w:tcPr>
                <w:p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</w:p>
                <w:p>
                  <w:pPr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/>
                  <w:bookmarkStart w:id="0" w:name="Regdate"/>
                  <w:r>
                    <w:rPr>
                      <w:sz w:val="28"/>
                      <w:szCs w:val="28"/>
                      <w:highlight w:val="white"/>
                    </w:rPr>
                    <w:t xml:space="preserve">от </w:t>
                  </w:r>
                  <w:bookmarkEnd w:id="0"/>
                  <w:r>
                    <w:rPr>
                      <w:sz w:val="28"/>
                      <w:szCs w:val="28"/>
                      <w:highlight w:val="white"/>
                    </w:rPr>
                    <w:t xml:space="preserve">«___» _______ 2024 г.</w:t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</w:p>
                <w:p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</w:p>
              </w:tc>
              <w:tc>
                <w:tcPr>
                  <w:shd w:val="clear" w:color="auto" w:fill="auto"/>
                  <w:tcW w:w="4958" w:type="dxa"/>
                  <w:textDirection w:val="lrTb"/>
                  <w:noWrap w:val="false"/>
                </w:tcPr>
                <w:p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</w:p>
                <w:p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/>
                  <w:bookmarkStart w:id="1" w:name="Regnum"/>
                  <w:r>
                    <w:rPr>
                      <w:sz w:val="28"/>
                      <w:szCs w:val="28"/>
                      <w:highlight w:val="white"/>
                    </w:rPr>
                    <w:t xml:space="preserve">                                      № </w:t>
                  </w:r>
                  <w:bookmarkEnd w:id="1"/>
                  <w:r>
                    <w:rPr>
                      <w:sz w:val="28"/>
                      <w:szCs w:val="28"/>
                      <w:highlight w:val="white"/>
                    </w:rPr>
                    <w:t xml:space="preserve">____-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нп</w:t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</w:p>
                <w:p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</w:p>
              </w:tc>
            </w:tr>
          </w:tbl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ind w:left="0" w:right="0" w:firstLine="850"/>
        <w:jc w:val="both"/>
        <w:spacing w:before="0" w:after="0" w:line="18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Законом Ханты-Мансийского автономного                   округа </w:t>
      </w:r>
      <w:r>
        <w:rPr>
          <w:rFonts w:eastAsia="Calibri"/>
          <w:sz w:val="28"/>
          <w:szCs w:val="28"/>
        </w:rPr>
        <w:t xml:space="preserve">– Югры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от 17.10.2005 № 82-оз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пользовании участками недр местного значения на территории Ханты-Мансийского автономного  округа </w:t>
      </w:r>
      <w:r>
        <w:rPr>
          <w:rFonts w:eastAsia="Calibri"/>
          <w:sz w:val="28"/>
          <w:szCs w:val="28"/>
        </w:rPr>
        <w:t xml:space="preserve">– Югры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sz w:val="28"/>
          <w:szCs w:val="28"/>
          <w:highlight w:val="white"/>
        </w:rPr>
        <w:t xml:space="preserve">,  </w:t>
      </w:r>
      <w:r>
        <w:rPr>
          <w:b/>
          <w:sz w:val="28"/>
          <w:szCs w:val="28"/>
          <w:highlight w:val="white"/>
        </w:rPr>
        <w:t xml:space="preserve">п</w:t>
      </w:r>
      <w:r>
        <w:rPr>
          <w:b/>
          <w:sz w:val="28"/>
          <w:szCs w:val="28"/>
          <w:highlight w:val="white"/>
        </w:rPr>
        <w:t xml:space="preserve"> р и к а з ы в а ю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ind w:firstLine="709"/>
        <w:jc w:val="both"/>
        <w:spacing w:line="264" w:lineRule="auto"/>
        <w:rPr>
          <w:highlight w:val="white"/>
          <w:lang w:val="ru-RU"/>
        </w:rPr>
      </w:pPr>
      <w:r>
        <w:rPr>
          <w:highlight w:val="white"/>
          <w:lang w:val="ru-RU"/>
        </w:rPr>
      </w:r>
      <w:r>
        <w:rPr>
          <w:highlight w:val="white"/>
          <w:lang w:val="ru-RU"/>
        </w:rPr>
      </w:r>
      <w:r>
        <w:rPr>
          <w:highlight w:val="white"/>
          <w:lang w:val="ru-RU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В</w:t>
      </w:r>
      <w:r>
        <w:rPr>
          <w:rFonts w:eastAsia="Calibri"/>
          <w:sz w:val="28"/>
          <w:szCs w:val="28"/>
          <w:highlight w:val="white"/>
        </w:rPr>
        <w:t xml:space="preserve">нести в приложение к </w:t>
      </w:r>
      <w:r>
        <w:rPr>
          <w:sz w:val="28"/>
          <w:szCs w:val="28"/>
          <w:highlight w:val="white"/>
        </w:rPr>
        <w:t xml:space="preserve">приказу Департамента недропользования и природных р</w:t>
      </w:r>
      <w:r>
        <w:rPr>
          <w:sz w:val="28"/>
          <w:szCs w:val="28"/>
        </w:rPr>
        <w:t xml:space="preserve">есурсов </w:t>
      </w:r>
      <w:r>
        <w:rPr>
          <w:rFonts w:eastAsia="Calibri"/>
          <w:sz w:val="28"/>
          <w:szCs w:val="28"/>
        </w:rPr>
        <w:t xml:space="preserve">Ханты-Мансийского автономного округа – Югры</w:t>
      </w:r>
      <w:r>
        <w:rPr>
          <w:color w:val="000000"/>
          <w:sz w:val="28"/>
          <w:szCs w:val="28"/>
        </w:rPr>
        <w:t xml:space="preserve"> от 27 апреля 2018 года № 24-нп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Порядка добычи подземных вод для целей питьевого и хозяйственно-бытового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709" w:firstLine="0"/>
        <w:jc w:val="both"/>
        <w:spacing w:after="0" w:line="264" w:lineRule="auto"/>
        <w:rPr>
          <w:rFonts w:ascii="Times New Roman" w:hAnsi="Times New Roman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1. В пункте 6:</w: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1.1. Подпункт 2 признать утратившим силу.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1.2. В подпункте 3: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абзац второй</w:t>
      </w:r>
      <w:r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«</w:t>
      </w:r>
      <w:r>
        <w:rPr>
          <w:color w:val="000000"/>
          <w:sz w:val="28"/>
          <w:szCs w:val="28"/>
          <w:highlight w:val="white"/>
        </w:rPr>
        <w:t xml:space="preserve">обоснованную потребность в подземных водах с учетом перспективы развития (расчет необходимого объема подземной воды)</w:t>
      </w:r>
      <w:r>
        <w:rPr>
          <w:color w:val="000000"/>
          <w:sz w:val="28"/>
          <w:szCs w:val="28"/>
          <w:highlight w:val="white"/>
        </w:rPr>
        <w:t xml:space="preserve">;</w:t>
      </w:r>
      <w:r>
        <w:t xml:space="preserve">»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третий дополнить слова</w:t>
      </w:r>
      <w:r>
        <w:rPr>
          <w:sz w:val="28"/>
          <w:szCs w:val="28"/>
        </w:rPr>
        <w:t xml:space="preserve">ми «</w:t>
      </w:r>
      <w:r>
        <w:rPr>
          <w:color w:val="000000"/>
          <w:sz w:val="28"/>
          <w:szCs w:val="28"/>
          <w:highlight w:val="white"/>
        </w:rPr>
        <w:t xml:space="preserve">или </w:t>
      </w:r>
      <w:r>
        <w:rPr>
          <w:color w:val="000000"/>
          <w:sz w:val="28"/>
          <w:szCs w:val="28"/>
          <w:highlight w:val="white"/>
        </w:rPr>
        <w:t xml:space="preserve">гидрогеологическое заключение (обоснование), описывающее водоносный горизонт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2. В  пункте 7: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2.1. В абзаце первом слова «подпунктах 1, 3, 4 пункта» заменить словом «пункте».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2.2. Абзац второй признать утратившим силу</w:t>
      </w:r>
      <w: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3. Пункт 10 изложить в следующей редакции: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«</w:t>
      </w:r>
      <w:r>
        <w:rPr>
          <w:color w:val="000000"/>
          <w:sz w:val="28"/>
          <w:szCs w:val="28"/>
          <w:highlight w:val="white"/>
        </w:rPr>
        <w:t xml:space="preserve">10. В срок не позднее 10 рабочих дней с даты регистрации заявки, Департамент принимает решение о предоставлении права пользования участком недр местного значения либо принимает решение об отказе в предоставлени</w:t>
      </w:r>
      <w:r>
        <w:rPr>
          <w:color w:val="000000"/>
          <w:sz w:val="28"/>
          <w:szCs w:val="28"/>
          <w:highlight w:val="white"/>
        </w:rPr>
        <w:t xml:space="preserve">и права пользования участком недр местного значения</w:t>
      </w:r>
      <w:r>
        <w:rPr>
          <w:color w:val="000000"/>
          <w:sz w:val="28"/>
          <w:szCs w:val="28"/>
          <w:highlight w:val="white"/>
        </w:rPr>
        <w:t xml:space="preserve">.».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4. В пункте 11 слова «10 марта 2022 года № 4-нп» заменить словами «от 10 апреля 2024 года № 10-нп».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5. Пункт 15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line="264" w:lineRule="auto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«15. </w:t>
      </w:r>
      <w:r>
        <w:rPr>
          <w:color w:val="000000"/>
          <w:sz w:val="28"/>
          <w:szCs w:val="28"/>
        </w:rPr>
        <w:t xml:space="preserve">Товарищество предоставляет </w:t>
      </w:r>
      <w:r>
        <w:rPr>
          <w:color w:val="000000"/>
          <w:sz w:val="28"/>
          <w:szCs w:val="28"/>
        </w:rPr>
        <w:t xml:space="preserve">геологическую информацию в срок не позднее 15 февраля, следующего за отчетным в порядке, сроки и форме, </w:t>
      </w:r>
      <w:r>
        <w:rPr>
          <w:color w:val="000000"/>
          <w:sz w:val="28"/>
          <w:szCs w:val="28"/>
        </w:rPr>
        <w:t xml:space="preserve">установленных</w:t>
      </w:r>
      <w:r>
        <w:rPr>
          <w:color w:val="000000"/>
          <w:sz w:val="28"/>
          <w:szCs w:val="28"/>
        </w:rPr>
        <w:t xml:space="preserve"> федера</w:t>
      </w:r>
      <w:r>
        <w:rPr>
          <w:color w:val="000000"/>
          <w:sz w:val="28"/>
          <w:szCs w:val="28"/>
        </w:rPr>
        <w:t xml:space="preserve">льным законодательством.».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6. В пункте 16: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6.1. В абзаце первом слова «пунктах 6, 15» заменить словами «пунктах 5 и 6».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6.2. </w:t>
      </w:r>
      <w:r>
        <w:rPr>
          <w:sz w:val="28"/>
          <w:szCs w:val="28"/>
        </w:rPr>
        <w:t xml:space="preserve">Абзацы четвертый и пятый признать утратившими силу.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7. Приложение 2 к </w:t>
      </w:r>
      <w:r>
        <w:rPr>
          <w:color w:val="000000"/>
          <w:sz w:val="28"/>
          <w:szCs w:val="28"/>
        </w:rPr>
        <w:t xml:space="preserve">Порядку добычи подземных вод для целей питьевого и хозяйственно-бытового водоснабжения или технического водоснабжения садоводческими некоммерческими товарищест</w:t>
      </w:r>
      <w:r>
        <w:rPr>
          <w:color w:val="000000"/>
          <w:sz w:val="28"/>
          <w:szCs w:val="28"/>
        </w:rPr>
        <w:t xml:space="preserve">вами и (или) огородническими некоммерческими товариществами признать утратившим силу.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264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8. Настоящий приказ вступает в силу с даты официального опубликования, за исключением пункта 4, вступающего в силу с 1 </w:t>
      </w:r>
      <w:r>
        <w:rPr>
          <w:sz w:val="28"/>
          <w:szCs w:val="28"/>
          <w:highlight w:val="none"/>
        </w:rPr>
        <w:t xml:space="preserve">марата 2025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2031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ind w:firstLine="0"/>
        <w:jc w:val="both"/>
        <w:spacing w:line="264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40"/>
        <w:jc w:val="both"/>
        <w:spacing w:line="264" w:lineRule="auto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contextualSpacing/>
        <w:ind w:firstLine="709"/>
        <w:jc w:val="both"/>
        <w:tabs>
          <w:tab w:val="left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>
        <w:trPr>
          <w:trHeight w:val="144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27" w:type="dxa"/>
            <w:textDirection w:val="lrTb"/>
            <w:noWrap w:val="false"/>
          </w:tcPr>
          <w:p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Директор Департамента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01" w:type="dxa"/>
            <w:vAlign w:val="center"/>
            <w:textDirection w:val="lrTb"/>
            <w:noWrap w:val="false"/>
          </w:tcPr>
          <w:p>
            <w:pPr>
              <w:rPr>
                <w:sz w:val="10"/>
                <w:szCs w:val="10"/>
                <w:highlight w:val="yellow"/>
              </w:rPr>
            </w:pPr>
            <w:r>
              <w:rPr>
                <w:sz w:val="10"/>
                <w:szCs w:val="10"/>
                <w:highlight w:val="yellow"/>
              </w:rPr>
            </w:r>
            <w:r>
              <w:rPr>
                <w:sz w:val="10"/>
                <w:szCs w:val="10"/>
                <w:highlight w:val="yellow"/>
              </w:rPr>
            </w:r>
            <w:r>
              <w:rPr>
                <w:sz w:val="10"/>
                <w:szCs w:val="10"/>
                <w:highlight w:val="yellow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52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С.А.Филатов</w:t>
            </w:r>
            <w:r>
              <w:rPr>
                <w:sz w:val="28"/>
                <w:szCs w:val="28"/>
                <w:highlight w:val="yellow"/>
              </w:rPr>
            </w:r>
            <w:r>
              <w:rPr>
                <w:sz w:val="28"/>
                <w:szCs w:val="28"/>
                <w:highlight w:val="yellow"/>
              </w:rPr>
            </w:r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1276" w:bottom="1247" w:left="1559" w:header="709" w:footer="709" w:gutter="0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NewRoman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libri Light">
    <w:panose1 w:val="020F03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/>
    <w:r/>
  </w:p>
  <w:p>
    <w:pPr>
      <w:pStyle w:val="7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973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decimal"/>
      <w:pStyle w:val="974"/>
      <w:isLgl w:val="false"/>
      <w:suff w:val="tab"/>
      <w:lvlText w:val="%1.%2."/>
      <w:lvlJc w:val="left"/>
      <w:pPr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2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decimal"/>
      <w:pStyle w:val="964"/>
      <w:isLgl w:val="false"/>
      <w:suff w:val="tab"/>
      <w:lvlText w:val="%1.%2."/>
      <w:lvlJc w:val="left"/>
      <w:pPr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92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9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47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04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25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4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  <w:tabs>
          <w:tab w:val="num" w:pos="277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062" w:hanging="360"/>
        <w:tabs>
          <w:tab w:val="num" w:pos="2062" w:leader="none"/>
        </w:tabs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65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966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pStyle w:val="967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20"/>
  </w:num>
  <w:num w:numId="8">
    <w:abstractNumId w:val="7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21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  <w:num w:numId="19">
    <w:abstractNumId w:val="23"/>
  </w:num>
  <w:num w:numId="20">
    <w:abstractNumId w:val="22"/>
  </w:num>
  <w:num w:numId="21">
    <w:abstractNumId w:val="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 w:default="1">
    <w:name w:val="Normal"/>
    <w:qFormat/>
    <w:rPr>
      <w:sz w:val="24"/>
      <w:szCs w:val="24"/>
    </w:rPr>
  </w:style>
  <w:style w:type="paragraph" w:styleId="735">
    <w:name w:val="Heading 1"/>
    <w:basedOn w:val="734"/>
    <w:next w:val="734"/>
    <w:link w:val="949"/>
    <w:uiPriority w:val="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736">
    <w:name w:val="Heading 2"/>
    <w:basedOn w:val="734"/>
    <w:next w:val="734"/>
    <w:link w:val="958"/>
    <w:uiPriority w:val="9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737">
    <w:name w:val="Heading 3"/>
    <w:basedOn w:val="734"/>
    <w:next w:val="734"/>
    <w:link w:val="7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8">
    <w:name w:val="Heading 4"/>
    <w:basedOn w:val="734"/>
    <w:next w:val="734"/>
    <w:link w:val="95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739">
    <w:name w:val="Heading 5"/>
    <w:basedOn w:val="734"/>
    <w:next w:val="734"/>
    <w:link w:val="7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0">
    <w:name w:val="Heading 6"/>
    <w:basedOn w:val="734"/>
    <w:next w:val="734"/>
    <w:link w:val="951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41">
    <w:name w:val="Heading 7"/>
    <w:basedOn w:val="734"/>
    <w:next w:val="734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734"/>
    <w:next w:val="734"/>
    <w:link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3">
    <w:name w:val="Heading 9"/>
    <w:basedOn w:val="734"/>
    <w:next w:val="734"/>
    <w:link w:val="7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table" w:styleId="747" w:customStyle="1">
    <w:name w:val="Plain Table 1"/>
    <w:basedOn w:val="74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2"/>
    <w:basedOn w:val="745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3"/>
    <w:basedOn w:val="7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Plain Table 4"/>
    <w:basedOn w:val="7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Plain Table 5"/>
    <w:basedOn w:val="7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1 Light"/>
    <w:basedOn w:val="745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basedOn w:val="74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"/>
    <w:basedOn w:val="74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4"/>
    <w:basedOn w:val="745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5 Dark"/>
    <w:basedOn w:val="74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6 Colorful"/>
    <w:basedOn w:val="74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7 Colorful"/>
    <w:basedOn w:val="745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"/>
    <w:basedOn w:val="7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2"/>
    <w:basedOn w:val="745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3"/>
    <w:basedOn w:val="74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"/>
    <w:basedOn w:val="74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5 Dark"/>
    <w:basedOn w:val="74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6 Colorful"/>
    <w:basedOn w:val="74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5" w:customStyle="1">
    <w:name w:val="List Table 7 Colorful"/>
    <w:basedOn w:val="745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66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68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71" w:customStyle="1">
    <w:name w:val="Subtitle Char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Footnote Text Char"/>
    <w:uiPriority w:val="99"/>
    <w:rPr>
      <w:sz w:val="18"/>
    </w:rPr>
  </w:style>
  <w:style w:type="character" w:styleId="775" w:customStyle="1">
    <w:name w:val="Endnote Text Char"/>
    <w:uiPriority w:val="99"/>
    <w:rPr>
      <w:sz w:val="20"/>
    </w:rPr>
  </w:style>
  <w:style w:type="character" w:styleId="77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77" w:customStyle="1">
    <w:name w:val="Heading 2 Char"/>
    <w:uiPriority w:val="9"/>
    <w:rPr>
      <w:rFonts w:ascii="Arial" w:hAnsi="Arial" w:eastAsia="Arial" w:cs="Arial"/>
      <w:sz w:val="34"/>
    </w:rPr>
  </w:style>
  <w:style w:type="character" w:styleId="778" w:customStyle="1">
    <w:name w:val="Заголовок 3 Знак"/>
    <w:link w:val="737"/>
    <w:uiPriority w:val="9"/>
    <w:rPr>
      <w:rFonts w:ascii="Arial" w:hAnsi="Arial" w:eastAsia="Arial" w:cs="Arial"/>
      <w:sz w:val="30"/>
      <w:szCs w:val="30"/>
    </w:rPr>
  </w:style>
  <w:style w:type="character" w:styleId="77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80" w:customStyle="1">
    <w:name w:val="Заголовок 5 Знак"/>
    <w:link w:val="739"/>
    <w:uiPriority w:val="9"/>
    <w:rPr>
      <w:rFonts w:ascii="Arial" w:hAnsi="Arial" w:eastAsia="Arial" w:cs="Arial"/>
      <w:b/>
      <w:bCs/>
      <w:sz w:val="24"/>
      <w:szCs w:val="24"/>
    </w:rPr>
  </w:style>
  <w:style w:type="character" w:styleId="781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82" w:customStyle="1">
    <w:name w:val="Заголовок 7 Знак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3" w:customStyle="1">
    <w:name w:val="Заголовок 8 Знак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84" w:customStyle="1">
    <w:name w:val="Заголовок 9 Знак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85">
    <w:name w:val="List Paragraph"/>
    <w:basedOn w:val="734"/>
    <w:link w:val="963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786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87">
    <w:name w:val="Title"/>
    <w:basedOn w:val="734"/>
    <w:link w:val="945"/>
    <w:qFormat/>
    <w:pPr>
      <w:jc w:val="center"/>
    </w:pPr>
    <w:rPr>
      <w:b/>
      <w:sz w:val="28"/>
      <w:szCs w:val="20"/>
      <w:lang w:val="en-US" w:eastAsia="en-US"/>
    </w:rPr>
  </w:style>
  <w:style w:type="character" w:styleId="788" w:customStyle="1">
    <w:name w:val="Title Char"/>
    <w:uiPriority w:val="10"/>
    <w:rPr>
      <w:sz w:val="48"/>
      <w:szCs w:val="48"/>
    </w:rPr>
  </w:style>
  <w:style w:type="paragraph" w:styleId="789">
    <w:name w:val="Subtitle"/>
    <w:basedOn w:val="734"/>
    <w:next w:val="734"/>
    <w:link w:val="790"/>
    <w:uiPriority w:val="11"/>
    <w:qFormat/>
    <w:pPr>
      <w:spacing w:before="200" w:after="200"/>
    </w:pPr>
  </w:style>
  <w:style w:type="character" w:styleId="790" w:customStyle="1">
    <w:name w:val="Подзаголовок Знак"/>
    <w:link w:val="789"/>
    <w:uiPriority w:val="11"/>
    <w:rPr>
      <w:sz w:val="24"/>
      <w:szCs w:val="24"/>
    </w:rPr>
  </w:style>
  <w:style w:type="paragraph" w:styleId="791">
    <w:name w:val="Quote"/>
    <w:basedOn w:val="734"/>
    <w:next w:val="734"/>
    <w:link w:val="792"/>
    <w:uiPriority w:val="29"/>
    <w:qFormat/>
    <w:pPr>
      <w:ind w:left="720" w:right="720"/>
    </w:pPr>
    <w:rPr>
      <w:i/>
    </w:r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basedOn w:val="734"/>
    <w:next w:val="734"/>
    <w:link w:val="7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 w:customStyle="1">
    <w:name w:val="Выделенная цитата Знак"/>
    <w:link w:val="793"/>
    <w:uiPriority w:val="30"/>
    <w:rPr>
      <w:i/>
    </w:rPr>
  </w:style>
  <w:style w:type="paragraph" w:styleId="795">
    <w:name w:val="Header"/>
    <w:basedOn w:val="734"/>
    <w:link w:val="96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6" w:customStyle="1">
    <w:name w:val="Header Char"/>
    <w:uiPriority w:val="99"/>
  </w:style>
  <w:style w:type="paragraph" w:styleId="797">
    <w:name w:val="Footer"/>
    <w:basedOn w:val="734"/>
    <w:link w:val="948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798" w:customStyle="1">
    <w:name w:val="Footer Char"/>
    <w:uiPriority w:val="99"/>
  </w:style>
  <w:style w:type="paragraph" w:styleId="799">
    <w:name w:val="Caption"/>
    <w:basedOn w:val="734"/>
    <w:next w:val="73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00" w:customStyle="1">
    <w:name w:val="Caption Char"/>
    <w:uiPriority w:val="99"/>
  </w:style>
  <w:style w:type="table" w:styleId="801">
    <w:name w:val="Table Grid"/>
    <w:basedOn w:val="745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7">
    <w:name w:val="Hyperlink"/>
    <w:rPr>
      <w:color w:val="0000ff"/>
      <w:u w:val="single"/>
    </w:rPr>
  </w:style>
  <w:style w:type="paragraph" w:styleId="928">
    <w:name w:val="footnote text"/>
    <w:basedOn w:val="734"/>
    <w:link w:val="929"/>
    <w:uiPriority w:val="99"/>
    <w:semiHidden/>
    <w:unhideWhenUsed/>
    <w:pPr>
      <w:spacing w:after="40"/>
    </w:pPr>
    <w:rPr>
      <w:sz w:val="18"/>
    </w:rPr>
  </w:style>
  <w:style w:type="character" w:styleId="929" w:customStyle="1">
    <w:name w:val="Текст сноски Знак"/>
    <w:link w:val="928"/>
    <w:uiPriority w:val="99"/>
    <w:rPr>
      <w:sz w:val="18"/>
    </w:rPr>
  </w:style>
  <w:style w:type="character" w:styleId="930">
    <w:name w:val="footnote reference"/>
    <w:uiPriority w:val="99"/>
    <w:unhideWhenUsed/>
    <w:rPr>
      <w:vertAlign w:val="superscript"/>
    </w:rPr>
  </w:style>
  <w:style w:type="paragraph" w:styleId="931">
    <w:name w:val="endnote text"/>
    <w:basedOn w:val="734"/>
    <w:link w:val="932"/>
    <w:uiPriority w:val="99"/>
    <w:semiHidden/>
    <w:unhideWhenUsed/>
    <w:rPr>
      <w:sz w:val="20"/>
    </w:rPr>
  </w:style>
  <w:style w:type="character" w:styleId="932" w:customStyle="1">
    <w:name w:val="Текст концевой сноски Знак"/>
    <w:link w:val="931"/>
    <w:uiPriority w:val="99"/>
    <w:rPr>
      <w:sz w:val="20"/>
    </w:rPr>
  </w:style>
  <w:style w:type="character" w:styleId="933">
    <w:name w:val="endnote reference"/>
    <w:uiPriority w:val="99"/>
    <w:semiHidden/>
    <w:unhideWhenUsed/>
    <w:rPr>
      <w:vertAlign w:val="superscript"/>
    </w:rPr>
  </w:style>
  <w:style w:type="paragraph" w:styleId="934">
    <w:name w:val="toc 1"/>
    <w:basedOn w:val="734"/>
    <w:next w:val="734"/>
    <w:uiPriority w:val="39"/>
    <w:unhideWhenUsed/>
    <w:pPr>
      <w:spacing w:after="57"/>
    </w:pPr>
  </w:style>
  <w:style w:type="paragraph" w:styleId="935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936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37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38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39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40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41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42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  <w:rPr>
      <w:lang w:eastAsia="zh-CN"/>
    </w:rPr>
  </w:style>
  <w:style w:type="paragraph" w:styleId="944">
    <w:name w:val="table of figures"/>
    <w:basedOn w:val="734"/>
    <w:next w:val="734"/>
    <w:uiPriority w:val="99"/>
    <w:unhideWhenUsed/>
  </w:style>
  <w:style w:type="character" w:styleId="945" w:customStyle="1">
    <w:name w:val="Название Знак"/>
    <w:link w:val="787"/>
    <w:rPr>
      <w:b/>
      <w:sz w:val="28"/>
    </w:rPr>
  </w:style>
  <w:style w:type="paragraph" w:styleId="946">
    <w:name w:val="Balloon Text"/>
    <w:basedOn w:val="734"/>
    <w:link w:val="947"/>
    <w:rPr>
      <w:rFonts w:ascii="Tahoma" w:hAnsi="Tahoma"/>
      <w:sz w:val="16"/>
      <w:szCs w:val="16"/>
      <w:lang w:val="en-US" w:eastAsia="en-US"/>
    </w:rPr>
  </w:style>
  <w:style w:type="character" w:styleId="947" w:customStyle="1">
    <w:name w:val="Текст выноски Знак"/>
    <w:link w:val="946"/>
    <w:rPr>
      <w:rFonts w:ascii="Tahoma" w:hAnsi="Tahoma" w:cs="Tahoma"/>
      <w:sz w:val="16"/>
      <w:szCs w:val="16"/>
    </w:rPr>
  </w:style>
  <w:style w:type="character" w:styleId="948" w:customStyle="1">
    <w:name w:val="Нижний колонтитул Знак"/>
    <w:basedOn w:val="744"/>
    <w:link w:val="797"/>
    <w:uiPriority w:val="99"/>
  </w:style>
  <w:style w:type="character" w:styleId="949" w:customStyle="1">
    <w:name w:val="Заголовок 1 Знак"/>
    <w:link w:val="735"/>
    <w:uiPriority w:val="9"/>
    <w:rPr>
      <w:rFonts w:ascii="Cambria" w:hAnsi="Cambria"/>
      <w:b/>
      <w:bCs/>
      <w:sz w:val="32"/>
      <w:szCs w:val="32"/>
      <w:lang w:eastAsia="en-US"/>
    </w:rPr>
  </w:style>
  <w:style w:type="paragraph" w:styleId="950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951" w:customStyle="1">
    <w:name w:val="Заголовок 6 Знак"/>
    <w:link w:val="740"/>
    <w:rPr>
      <w:b/>
      <w:bCs/>
      <w:sz w:val="22"/>
      <w:szCs w:val="22"/>
    </w:rPr>
  </w:style>
  <w:style w:type="paragraph" w:styleId="952">
    <w:name w:val="Body Text Indent"/>
    <w:basedOn w:val="734"/>
    <w:link w:val="953"/>
    <w:pPr>
      <w:ind w:left="283"/>
      <w:spacing w:after="120"/>
    </w:pPr>
    <w:rPr>
      <w:lang w:val="en-US" w:eastAsia="en-US"/>
    </w:rPr>
  </w:style>
  <w:style w:type="character" w:styleId="953" w:customStyle="1">
    <w:name w:val="Основной текст с отступом Знак"/>
    <w:link w:val="952"/>
    <w:rPr>
      <w:sz w:val="24"/>
      <w:szCs w:val="24"/>
    </w:rPr>
  </w:style>
  <w:style w:type="paragraph" w:styleId="954">
    <w:name w:val="Body Text"/>
    <w:basedOn w:val="734"/>
    <w:link w:val="955"/>
    <w:pPr>
      <w:spacing w:after="120"/>
    </w:pPr>
    <w:rPr>
      <w:lang w:val="en-US" w:eastAsia="en-US"/>
    </w:rPr>
  </w:style>
  <w:style w:type="character" w:styleId="955" w:customStyle="1">
    <w:name w:val="Основной текст Знак"/>
    <w:link w:val="954"/>
    <w:rPr>
      <w:sz w:val="24"/>
      <w:szCs w:val="24"/>
    </w:rPr>
  </w:style>
  <w:style w:type="paragraph" w:styleId="956">
    <w:name w:val="Body Text 3"/>
    <w:basedOn w:val="734"/>
    <w:link w:val="957"/>
    <w:pPr>
      <w:spacing w:after="120"/>
    </w:pPr>
    <w:rPr>
      <w:sz w:val="16"/>
      <w:szCs w:val="16"/>
      <w:lang w:val="en-US" w:eastAsia="en-US"/>
    </w:rPr>
  </w:style>
  <w:style w:type="character" w:styleId="957" w:customStyle="1">
    <w:name w:val="Основной текст 3 Знак"/>
    <w:link w:val="956"/>
    <w:rPr>
      <w:sz w:val="16"/>
      <w:szCs w:val="16"/>
    </w:rPr>
  </w:style>
  <w:style w:type="character" w:styleId="958" w:customStyle="1">
    <w:name w:val="Заголовок 2 Знак"/>
    <w:link w:val="736"/>
    <w:uiPriority w:val="9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959" w:customStyle="1">
    <w:name w:val="Заголовок 4 Знак"/>
    <w:link w:val="738"/>
    <w:semiHidden/>
    <w:rPr>
      <w:rFonts w:ascii="Calibri" w:hAnsi="Calibri" w:eastAsia="Times New Roman" w:cs="Times New Roman"/>
      <w:b/>
      <w:bCs/>
      <w:sz w:val="28"/>
      <w:szCs w:val="28"/>
    </w:rPr>
  </w:style>
  <w:style w:type="paragraph" w:styleId="960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61" w:customStyle="1">
    <w:name w:val="Верхний колонтитул Знак"/>
    <w:link w:val="795"/>
    <w:uiPriority w:val="99"/>
    <w:rPr>
      <w:sz w:val="24"/>
      <w:szCs w:val="24"/>
    </w:rPr>
  </w:style>
  <w:style w:type="paragraph" w:styleId="962">
    <w:name w:val="Normal (Web)"/>
    <w:basedOn w:val="734"/>
    <w:uiPriority w:val="99"/>
    <w:unhideWhenUsed/>
    <w:pPr>
      <w:spacing w:before="100" w:beforeAutospacing="1" w:after="100" w:afterAutospacing="1"/>
    </w:pPr>
  </w:style>
  <w:style w:type="character" w:styleId="963" w:customStyle="1">
    <w:name w:val="Абзац списка Знак"/>
    <w:link w:val="785"/>
    <w:uiPriority w:val="34"/>
    <w:rPr>
      <w:rFonts w:ascii="Calibri" w:hAnsi="Calibri"/>
      <w:sz w:val="22"/>
      <w:szCs w:val="22"/>
    </w:rPr>
  </w:style>
  <w:style w:type="paragraph" w:styleId="964" w:customStyle="1">
    <w:name w:val="З2"/>
    <w:basedOn w:val="734"/>
    <w:qFormat/>
    <w:pPr>
      <w:numPr>
        <w:ilvl w:val="1"/>
        <w:numId w:val="8"/>
      </w:numPr>
      <w:ind w:left="0" w:firstLine="709"/>
      <w:jc w:val="both"/>
      <w:spacing w:before="120" w:line="360" w:lineRule="auto"/>
    </w:pPr>
    <w:rPr>
      <w:rFonts w:eastAsia="Calibri"/>
      <w:sz w:val="28"/>
      <w:szCs w:val="28"/>
      <w:lang w:eastAsia="en-US"/>
    </w:rPr>
  </w:style>
  <w:style w:type="paragraph" w:styleId="965" w:customStyle="1">
    <w:name w:val="З3"/>
    <w:basedOn w:val="964"/>
    <w:next w:val="734"/>
    <w:link w:val="972"/>
    <w:qFormat/>
    <w:pPr>
      <w:numPr>
        <w:ilvl w:val="2"/>
        <w:numId w:val="7"/>
      </w:numPr>
    </w:pPr>
    <w:rPr>
      <w:lang w:val="en-US"/>
    </w:rPr>
  </w:style>
  <w:style w:type="paragraph" w:styleId="966" w:customStyle="1">
    <w:name w:val="З4"/>
    <w:basedOn w:val="965"/>
    <w:next w:val="734"/>
    <w:qFormat/>
    <w:pPr>
      <w:numPr>
        <w:ilvl w:val="3"/>
      </w:numPr>
      <w:ind w:left="1647" w:hanging="1080"/>
      <w:tabs>
        <w:tab w:val="clear" w:pos="720" w:leader="none"/>
        <w:tab w:val="left" w:pos="1077" w:leader="none"/>
      </w:tabs>
    </w:pPr>
  </w:style>
  <w:style w:type="paragraph" w:styleId="967" w:customStyle="1">
    <w:name w:val="З5"/>
    <w:basedOn w:val="966"/>
    <w:next w:val="734"/>
    <w:qFormat/>
    <w:pPr>
      <w:numPr>
        <w:ilvl w:val="4"/>
      </w:numPr>
      <w:ind w:left="1647"/>
      <w:tabs>
        <w:tab w:val="clear" w:pos="1080" w:leader="none"/>
      </w:tabs>
    </w:pPr>
  </w:style>
  <w:style w:type="paragraph" w:styleId="968" w:customStyle="1">
    <w:name w:val="Основной заголовок"/>
    <w:basedOn w:val="734"/>
    <w:link w:val="969"/>
    <w:qFormat/>
    <w:pPr>
      <w:contextualSpacing/>
      <w:jc w:val="center"/>
      <w:spacing w:line="360" w:lineRule="auto"/>
    </w:pPr>
    <w:rPr>
      <w:rFonts w:eastAsia="Calibri"/>
      <w:b/>
      <w:sz w:val="28"/>
      <w:szCs w:val="28"/>
      <w:lang w:val="en-US" w:eastAsia="en-US"/>
    </w:rPr>
  </w:style>
  <w:style w:type="character" w:styleId="969" w:customStyle="1">
    <w:name w:val="Основной заголовок Знак"/>
    <w:link w:val="968"/>
    <w:rPr>
      <w:rFonts w:eastAsia="Calibri"/>
      <w:b/>
      <w:sz w:val="28"/>
      <w:szCs w:val="28"/>
      <w:lang w:eastAsia="en-US"/>
    </w:rPr>
  </w:style>
  <w:style w:type="paragraph" w:styleId="970" w:customStyle="1">
    <w:name w:val="Заголов 2"/>
    <w:basedOn w:val="964"/>
    <w:link w:val="971"/>
    <w:qFormat/>
    <w:rPr>
      <w:lang w:val="en-US"/>
    </w:rPr>
  </w:style>
  <w:style w:type="character" w:styleId="971" w:customStyle="1">
    <w:name w:val="Заголов 2 Знак"/>
    <w:link w:val="970"/>
    <w:rPr>
      <w:rFonts w:eastAsia="Calibri"/>
      <w:sz w:val="28"/>
      <w:szCs w:val="28"/>
      <w:lang w:eastAsia="en-US"/>
    </w:rPr>
  </w:style>
  <w:style w:type="character" w:styleId="972" w:customStyle="1">
    <w:name w:val="З3 Знак"/>
    <w:link w:val="965"/>
    <w:rPr>
      <w:rFonts w:eastAsia="Calibri"/>
      <w:sz w:val="28"/>
      <w:szCs w:val="28"/>
      <w:lang w:eastAsia="en-US"/>
    </w:rPr>
  </w:style>
  <w:style w:type="paragraph" w:styleId="973" w:customStyle="1">
    <w:name w:val="Стиль I"/>
    <w:basedOn w:val="785"/>
    <w:link w:val="975"/>
    <w:qFormat/>
    <w:pPr>
      <w:numPr>
        <w:ilvl w:val="0"/>
        <w:numId w:val="9"/>
      </w:numPr>
      <w:jc w:val="center"/>
    </w:pPr>
    <w:rPr>
      <w:rFonts w:ascii="Times New Roman" w:hAnsi="Times New Roman" w:eastAsia="Calibri"/>
      <w:sz w:val="28"/>
      <w:szCs w:val="28"/>
    </w:rPr>
  </w:style>
  <w:style w:type="paragraph" w:styleId="974" w:customStyle="1">
    <w:name w:val="Cnbkm I1"/>
    <w:basedOn w:val="785"/>
    <w:link w:val="976"/>
    <w:qFormat/>
    <w:pPr>
      <w:numPr>
        <w:ilvl w:val="1"/>
        <w:numId w:val="9"/>
      </w:numPr>
      <w:jc w:val="both"/>
    </w:pPr>
    <w:rPr>
      <w:rFonts w:ascii="Times New Roman" w:hAnsi="Times New Roman" w:eastAsia="Calibri"/>
      <w:sz w:val="28"/>
      <w:szCs w:val="28"/>
    </w:rPr>
  </w:style>
  <w:style w:type="character" w:styleId="975" w:customStyle="1">
    <w:name w:val="Стиль I Знак"/>
    <w:link w:val="973"/>
    <w:rPr>
      <w:rFonts w:eastAsia="Calibri"/>
      <w:sz w:val="28"/>
      <w:szCs w:val="28"/>
      <w:lang w:eastAsia="en-US"/>
    </w:rPr>
  </w:style>
  <w:style w:type="character" w:styleId="976" w:customStyle="1">
    <w:name w:val="Cnbkm I1 Знак"/>
    <w:link w:val="974"/>
    <w:rPr>
      <w:rFonts w:eastAsia="Calibri"/>
      <w:sz w:val="28"/>
      <w:szCs w:val="28"/>
      <w:lang w:eastAsia="en-US"/>
    </w:rPr>
  </w:style>
  <w:style w:type="paragraph" w:styleId="977" w:customStyle="1">
    <w:name w:val="Абзац списка;it_List1;Абзац списка литеральный;асз.Списка"/>
    <w:basedOn w:val="734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/>
      <w:sz w:val="22"/>
      <w:szCs w:val="22"/>
    </w:rPr>
  </w:style>
  <w:style w:type="character" w:styleId="978" w:customStyle="1">
    <w:name w:val="docdata"/>
  </w:style>
  <w:style w:type="paragraph" w:styleId="979" w:customStyle="1">
    <w:name w:val="Абзац списка;it_List1;Абзац списка литеральный;асз.Списка"/>
    <w:uiPriority w:val="34"/>
    <w:qFormat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/>
      <w:sz w:val="22"/>
      <w:szCs w:val="22"/>
      <w:lang w:eastAsia="en-US"/>
    </w:rPr>
  </w:style>
  <w:style w:type="paragraph" w:styleId="980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/>
      <w:color w:val="000000"/>
      <w:sz w:val="24"/>
      <w:szCs w:val="24"/>
    </w:rPr>
  </w:style>
  <w:style w:type="paragraph" w:styleId="981" w:customStyle="1">
    <w:name w:val="Стандартный HTML1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  <w:lang w:val="en-US" w:eastAsia="en-US"/>
    </w:rPr>
  </w:style>
  <w:style w:type="paragraph" w:styleId="982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lang w:val="en-US" w:eastAsia="zh-CN"/>
    </w:rPr>
  </w:style>
  <w:style w:type="paragraph" w:styleId="983">
    <w:name w:val="HTML Preformatted"/>
    <w:basedOn w:val="734"/>
    <w:link w:val="984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84" w:customStyle="1">
    <w:name w:val="Стандартный HTML Знак"/>
    <w:basedOn w:val="744"/>
    <w:link w:val="983"/>
    <w:uiPriority w:val="99"/>
    <w:semiHidden/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Timerbulatov</dc:creator>
  <cp:revision>19</cp:revision>
  <dcterms:created xsi:type="dcterms:W3CDTF">2023-10-10T07:08:00Z</dcterms:created>
  <dcterms:modified xsi:type="dcterms:W3CDTF">2024-06-05T10:37:00Z</dcterms:modified>
  <cp:version>1048576</cp:version>
</cp:coreProperties>
</file>