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/>
    </w:p>
    <w:p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ПРАВИТЕЛЬСТВО</w:t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</w:t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от __________________№ ______</w:t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Ханты-Мансийск</w:t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технопаркам в сфере высоких технологий,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правляющим компаниям технопарков в сфере высоких технологий, промышленным кластерам, специализированным организациям промышленных кластеров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— Югры</w:t>
      </w:r>
      <w:r/>
    </w:p>
    <w:p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7 Федерального закона от 31 декабря 2014 года № </w:t>
      </w:r>
      <w:r>
        <w:rPr>
          <w:rFonts w:ascii="Times New Roman" w:hAnsi="Times New Roman" w:cs="Times New Roman"/>
          <w:sz w:val="28"/>
          <w:szCs w:val="28"/>
        </w:rPr>
        <w:t xml:space="preserve">488-ФЗ «О промышленной политике в Российской Федерации», статьей 4 Закона Ханты-Мансийского автономного округа – Югры от 31 марта 2016 года № 23-оз «О промышленной политике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Югре», учитывая решение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Департаменте промышленности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(протокол от 21 февраля 2024 года № 5), Правительство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contextualSpacing/>
        <w:ind w:firstLine="70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требования к индустриальны</w:t>
      </w:r>
      <w:r>
        <w:rPr>
          <w:rFonts w:ascii="Times New Roman" w:hAnsi="Times New Roman" w:cs="Times New Roman"/>
          <w:sz w:val="28"/>
          <w:szCs w:val="28"/>
        </w:rPr>
        <w:t xml:space="preserve">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технопаркам в сфере высоких технологий, управляющим компаниям технопарков в сфере высоких техноло</w:t>
      </w:r>
      <w:r>
        <w:rPr>
          <w:rFonts w:ascii="Times New Roman" w:hAnsi="Times New Roman" w:cs="Times New Roman"/>
          <w:sz w:val="28"/>
          <w:szCs w:val="28"/>
        </w:rPr>
        <w:t xml:space="preserve">гий, промышленным кластерам, специализированным организациям промышленных кластеров, осуществляющим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Югре, в целях применения к ним мер стимулирования деятельности в сфере промышленности (Приложение 1);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рядок подтверждения соответствия индустриальных (промышленных) парков, промышленных технопарков, технопарков в сфере высоких технологий, управляющих компаний индустриальных (промышленных) парков, промышленных технопарков, технопарков в сфере высоких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промышленных кластеров, специализированных организаций промышленных кластеров, осуществляющих деятельность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округе – Югре, дополнительным требованиям к индустриальным (промышленным) паркам, промышленным технопаркам, техно</w:t>
      </w:r>
      <w:r>
        <w:rPr>
          <w:rFonts w:ascii="Times New Roman" w:hAnsi="Times New Roman" w:cs="Times New Roman"/>
          <w:sz w:val="28"/>
          <w:szCs w:val="28"/>
        </w:rPr>
        <w:t xml:space="preserve">паркам в сфере высоких технологий, управляющим компаниям индустриальных (промышленных) парков, промышленных технопарков, технопарков в сфере высоких технологий, промышленным кластерам, специализированным организациям промышленных кластеров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</w:t>
      </w:r>
      <w:r>
        <w:rPr>
          <w:rFonts w:ascii="Times New Roman" w:hAnsi="Times New Roman" w:cs="Times New Roman"/>
          <w:sz w:val="28"/>
          <w:szCs w:val="28"/>
        </w:rPr>
        <w:t xml:space="preserve">о автономного округа — Югры (Приложение 2).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73"/>
        <w:contextualSpacing/>
        <w:ind w:firstLine="709"/>
        <w:spacing w:line="360" w:lineRule="auto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p>
      <w:pPr>
        <w:pStyle w:val="873"/>
        <w:contextualSpacing/>
        <w:spacing w:line="276" w:lineRule="auto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/>
    </w:p>
    <w:p>
      <w:pPr>
        <w:pStyle w:val="873"/>
        <w:contextualSpacing/>
        <w:spacing w:line="276" w:lineRule="auto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/>
    </w:p>
    <w:p>
      <w:pPr>
        <w:pStyle w:val="873"/>
        <w:contextualSpacing/>
        <w:spacing w:line="276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Н.В.Комарова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 w:clear="all"/>
      </w:r>
      <w:r/>
    </w:p>
    <w:p>
      <w:pPr>
        <w:pStyle w:val="873"/>
        <w:contextualSpacing/>
        <w:ind w:firstLine="709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contextualSpacing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</w:t>
      </w:r>
      <w:r/>
    </w:p>
    <w:p>
      <w:pPr>
        <w:contextualSpacing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/>
    </w:p>
    <w:p>
      <w:pPr>
        <w:contextualSpacing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/>
    </w:p>
    <w:p>
      <w:pPr>
        <w:contextualSpacing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года № ______-п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требования</w:t>
      </w:r>
      <w:r/>
    </w:p>
    <w:p>
      <w:pPr>
        <w:contextualSpacing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</w:t>
      </w:r>
      <w:r>
        <w:rPr>
          <w:rFonts w:ascii="Times New Roman" w:hAnsi="Times New Roman" w:cs="Times New Roman"/>
          <w:sz w:val="28"/>
          <w:szCs w:val="28"/>
        </w:rPr>
        <w:t xml:space="preserve">ов, технопаркам в сфере высоких технологий, управляющим компаниям технопарков в сфере высоких технологий, промышленным кластерам, специализированным организациям промышленных кластеров, осуществляющим деятельность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округе – Югр</w:t>
      </w:r>
      <w:r>
        <w:rPr>
          <w:rFonts w:ascii="Times New Roman" w:hAnsi="Times New Roman" w:cs="Times New Roman"/>
          <w:sz w:val="28"/>
          <w:szCs w:val="28"/>
        </w:rPr>
        <w:t xml:space="preserve">е, в целях применения к ним мер стимулирования деятельности в сфере промышленности</w:t>
      </w:r>
      <w:r/>
    </w:p>
    <w:p>
      <w:pPr>
        <w:contextualSpacing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дополнительные требования)</w:t>
      </w:r>
      <w:r/>
    </w:p>
    <w:p>
      <w:pPr>
        <w:contextualSpacing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технопаркам в сфере высоких технологий, управляющим комп</w:t>
      </w:r>
      <w:r>
        <w:rPr>
          <w:rFonts w:ascii="Times New Roman" w:hAnsi="Times New Roman" w:cs="Times New Roman"/>
          <w:sz w:val="28"/>
          <w:szCs w:val="28"/>
        </w:rPr>
        <w:t xml:space="preserve">аниям технопарков в сфере высоких технологий, промышленным кластерам, специализированным организациям промышленных кластеров в целях применения к ним мер стимулирования деятельности в сфере промышленности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и нормативными правовыми актами Ханты-Мансийского автономного округа – Югры (далее – автономный округ).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дополнительных требованиях, применяются в значениях,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br/>
        <w:t xml:space="preserve">от 31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№ 488-ФЗ «О промышленной политике в Российской Федерации», постановлениями Правительства Российской Федерации от 31 июля 2015 года № 779«О промышленных кластерах и специализированных организациях промышленных кластеров», от 4 августа 2015 года № 794 «Об и</w:t>
      </w:r>
      <w:r>
        <w:rPr>
          <w:rFonts w:ascii="Times New Roman" w:hAnsi="Times New Roman" w:cs="Times New Roman"/>
          <w:sz w:val="28"/>
          <w:szCs w:val="28"/>
        </w:rPr>
        <w:t xml:space="preserve">ндустриальных (промышленных) парках и управляющих компаниях индустриальных (промышленных) парков»,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декабря 2019 года № 1863 «О промышленных технопарках и управляющих компаниях промышленных технопарков», от 25 августа 2023 года № 1381 «О технопарках в</w:t>
      </w:r>
      <w:r>
        <w:rPr>
          <w:rFonts w:ascii="Times New Roman" w:hAnsi="Times New Roman" w:cs="Times New Roman"/>
          <w:sz w:val="28"/>
          <w:szCs w:val="28"/>
        </w:rPr>
        <w:t xml:space="preserve"> сфере высоких технологий и управляющих компаниях технопарков в сфере высоких технологий», и законом автономного округа от 31 марта 2016 года № 23-оз «О промышленной политике в Ханты-Мансийском автономном округе – Югре».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3. Применение мер стимулирования деятельности в сфере промышленности в отношении управляющих компаний индустриальных (промышленных) парков, управляющих компаний промышленных технопарков, управляющих компаний технопарков в сфере высоких технологий, промышле</w:t>
      </w:r>
      <w:r>
        <w:rPr>
          <w:rFonts w:ascii="Times New Roman" w:hAnsi="Times New Roman" w:cs="Times New Roman"/>
          <w:sz w:val="28"/>
          <w:szCs w:val="28"/>
        </w:rPr>
        <w:t xml:space="preserve">нных кластеров при условии соответствия индустриальных (промышленным) парков, промышленных технопарков, технопарков в сфере высоких технологий, управляющих компаний индустриальных (промышленных) парков, промышленных технопарков и технопарков в сфере высоки</w:t>
      </w:r>
      <w:r>
        <w:rPr>
          <w:rFonts w:ascii="Times New Roman" w:hAnsi="Times New Roman" w:cs="Times New Roman"/>
          <w:sz w:val="28"/>
          <w:szCs w:val="28"/>
        </w:rPr>
        <w:t xml:space="preserve">х технологий, промышленных кластеров, специализированных организаций промышленных кластеров, осуществляющих деятельность в автономном округе, осуществляется в порядке, установленном нормативными правовыми актами автономного округа, в случае соответствия тр</w:t>
      </w:r>
      <w:r>
        <w:rPr>
          <w:rFonts w:ascii="Times New Roman" w:hAnsi="Times New Roman" w:cs="Times New Roman"/>
          <w:sz w:val="28"/>
          <w:szCs w:val="28"/>
        </w:rPr>
        <w:t xml:space="preserve">ебованиям,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установленным Правительством Российской Федерации, и настоящим дополнительным требованиям.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 Дополнительные требования:</w:t>
      </w:r>
      <w:r/>
    </w:p>
    <w:p>
      <w:pPr>
        <w:contextualSpacing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4.1 в отношении индустриальных (промышленных) парков и управляющих компаний индустриальных (промышленных) парков: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4.1.1 рези</w:t>
      </w:r>
      <w:r>
        <w:rPr>
          <w:rFonts w:ascii="Times New Roman" w:hAnsi="Times New Roman" w:cs="Times New Roman"/>
          <w:sz w:val="28"/>
          <w:szCs w:val="28"/>
        </w:rPr>
        <w:t xml:space="preserve">денты и (или) потенциальные резиденты индустриального (промышленного) парка зарегистрированы в качестве юридических лиц или индивидуальных предпринимателей в соответствии с законодательством Российской Федерации и осуществляют деятельность в автономном окр</w:t>
      </w:r>
      <w:r>
        <w:rPr>
          <w:rFonts w:ascii="Times New Roman" w:hAnsi="Times New Roman" w:cs="Times New Roman"/>
          <w:sz w:val="28"/>
          <w:szCs w:val="28"/>
        </w:rPr>
        <w:t xml:space="preserve">уге;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4.1.2 управляющая компания или ее обособленное подразделение (при его наличии) и каждый субъект деятельности в сфере промышленности, использующий объекты промышленной инфраструктуры, находящиеся в составе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должны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быть поставлены на учет в территориальных органах Федеральной налоговой службы по Ханты-Мансийскому автономному округу – Югре, за исключением управляющей компании экопромышленного парка;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4.1.3 у управляющей компании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индустриального (промышленного) парка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на дату регистрации в Департаменте заявления о проведении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индустриального (промышленного) парка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и его управляющей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компании на соответствие дополнительным требованиям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едином налоговом счете отсутствует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color w:val="000000" w:themeColor="text1"/>
          <w:highlight w:val="none"/>
        </w:rPr>
      </w:r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4.1.4 на территории индустриального (промышленного) пар</w:t>
      </w:r>
      <w:r>
        <w:rPr>
          <w:rFonts w:ascii="Times New Roman" w:hAnsi="Times New Roman" w:cs="Times New Roman"/>
          <w:sz w:val="28"/>
          <w:szCs w:val="28"/>
        </w:rPr>
        <w:t xml:space="preserve">ка не производятся подакцизные товары, кроме автомобилей легковых и мотоциклов;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 в отношении промышленных технопарков и управляющих компаний промышленных технопарков: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4.2.1 резиденты промышленных технопарков и (или) потенциальные резиденты промышленных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технопарков зарегистрированы в качестве юридических лиц или индивидуальных предпринимателей в соответствии с законодательством Российской Федерации и осуществляют деятельность в автономном округе (для потенциальных резидентов промышленных технопарков допус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кается представление обязательства о регистрации);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4.2.2 управляющая компания и каждый субъект деятельности в сфере промышленности, использующий объекты промышленной инфраструктуры, находящиеся в составе промышленных технопарков, должны быть поставлены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учет в территориальных органах Федеральной налоговой службы по Ханты-Мансийскому автономному округу – Югре, за исключением управляющей компании экотехнопарка;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4.2.3 у упра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вляющей компании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промышленного технопарка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на дату регистрации в Департаменте заявления о проведении проверки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промышленного технопарка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и его управляющей компании на соответствие дополнительным требованиям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 едином налоговом счете отсутствует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;</w:t>
      </w:r>
      <w:r>
        <w:rPr>
          <w:color w:val="auto"/>
          <w:highlight w:val="none"/>
        </w:rPr>
      </w:r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4.2.4 на территории промышленного технопарка не производятся подакцизные товары, кроме автомобилей легковых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мотоциклов;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 в отношении технопарков в сфере высоких технологий и управляющих компаний технопарков в сфере высоких технологий: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4.3.1 резиденты технопарка в сфере высоких технологий и (или) потенциальные резиденты технопарка в сфере высоких технологий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зарегистрированы в качестве юридических лиц или индивидуальных предпринимателей в соответствии с законодательством Российской Федерации и осуществляют деятельность в автономном округе (для потенциальных резидентов технопарка в сфере высоких технологий допу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скается представление обязательства о регистрации);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4.3.2 управляющая компания или ее обособленное подразделение (при его наличии) и каждый субъект деятельности в сфере промышленности, использующий объекты промышленной инфраструктуры, находящиеся в составе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технопарка в сфере высоких технологий, должны быть поставлены на учет в территориальных органах Федеральной налоговой службы по Ханты-Мансийскому автономному округу – Югре;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4.3.3 у управляющей компании технопарка в сфере высоких технологий на дату регистрации в Департаменте заявления 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проведении проверки технопарка в сфере высоких технологий и его управляющей компании на соответствие дополнительным требованиям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 едином налоговом счете отсутствует задолженность по уплате налогов, сборов и страховых взносов в бюджеты бюджетной системы Р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оссийской Федерации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;</w:t>
      </w:r>
      <w:r>
        <w:rPr>
          <w:color w:val="auto"/>
          <w:highlight w:val="none"/>
        </w:rPr>
      </w:r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4.3.4 на территории технопарка в сфере высоких технологий не производятся подакцизные товары, кроме автомобилей легковых и мотоциклов;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 в отношении промышленных кластеров и специализированных организаций промышленных кластеров: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 специализированная организация должна быть поставлена на учет в территориальных органах Федеральной налоговой службы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по Ханты-Мансийскому автономному округу – Югре;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4.4.2 </w:t>
      </w:r>
      <w:r>
        <w:rPr>
          <w:rFonts w:ascii="Times New Roman" w:hAnsi="Times New Roman" w:cs="Times New Roman"/>
          <w:sz w:val="28"/>
          <w:szCs w:val="28"/>
        </w:rPr>
        <w:t xml:space="preserve">в число участников промышленного кластера не входят юридические лица 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предприниматели, осуществляющие хозяйственную деятельность в сфере добывающей промышленности и производства подакцизных товаров, за исключением производства легковых автомобилей и мотоциклов;</w:t>
      </w:r>
      <w:r/>
    </w:p>
    <w:p>
      <w:pPr>
        <w:contextualSpacing/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4.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/>
        </w:rPr>
        <w:t xml:space="preserve">4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.3 у специализированной организации промышленного кластера на дату регистрации в Департаменте заявления о проведении проверки промышленного кластера и его специализированной организации на соответствие дополните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льным требованиям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 едином налоговом счете отсутствует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firstLine="540"/>
        <w:jc w:val="right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ind w:firstLine="540"/>
        <w:jc w:val="right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</w:t>
      </w:r>
      <w:r/>
    </w:p>
    <w:p>
      <w:pPr>
        <w:ind w:firstLine="540"/>
        <w:jc w:val="right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/>
    </w:p>
    <w:p>
      <w:pPr>
        <w:ind w:firstLine="540"/>
        <w:jc w:val="right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/>
    </w:p>
    <w:p>
      <w:pPr>
        <w:ind w:firstLine="540"/>
        <w:jc w:val="right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 _____________ года № ______-п</w:t>
      </w:r>
      <w:r/>
    </w:p>
    <w:p>
      <w:pPr>
        <w:ind w:firstLine="540"/>
        <w:jc w:val="both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540"/>
        <w:jc w:val="both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54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/>
    </w:p>
    <w:p>
      <w:pPr>
        <w:ind w:firstLine="540"/>
        <w:jc w:val="center"/>
        <w:spacing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подтверждения соответствия индустриальных (промышленных) парков, промышленных технопарков, технопарков в сфере высоких технологий, управляющих компаний индустриальных (промышленных) парков, промышленных технопарко</w:t>
      </w:r>
      <w:r>
        <w:rPr>
          <w:rFonts w:ascii="Times New Roman" w:hAnsi="Times New Roman" w:cs="Times New Roman"/>
          <w:sz w:val="28"/>
          <w:szCs w:val="28"/>
        </w:rPr>
        <w:t xml:space="preserve">в, технопарков в сфере высоких технологий, промышленных кластеров, специализированных организаций промышленных кластеров,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Югре, дополнительным требованиям к индустриальным (промышленным) па</w:t>
      </w:r>
      <w:r>
        <w:rPr>
          <w:rFonts w:ascii="Times New Roman" w:hAnsi="Times New Roman" w:cs="Times New Roman"/>
          <w:sz w:val="28"/>
          <w:szCs w:val="28"/>
        </w:rPr>
        <w:t xml:space="preserve">ркам, промышленным технопаркам, технопаркам в сфере высоких технологий, управляющим компаниям индустриальных (промышленных) парков, промышленных технопарков, технопарков в сфере высоких технологий, промышленным кластерам, специализированным организациям пр</w:t>
      </w:r>
      <w:r>
        <w:rPr>
          <w:rFonts w:ascii="Times New Roman" w:hAnsi="Times New Roman" w:cs="Times New Roman"/>
          <w:sz w:val="28"/>
          <w:szCs w:val="28"/>
        </w:rPr>
        <w:t xml:space="preserve">омышленных кластеров Ханты-Мансийского автономного округа — Югры</w:t>
      </w:r>
      <w:r/>
    </w:p>
    <w:p>
      <w:pPr>
        <w:ind w:firstLine="540"/>
        <w:jc w:val="center"/>
        <w:spacing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</w:t>
      </w:r>
      <w:r/>
    </w:p>
    <w:p>
      <w:pPr>
        <w:ind w:firstLine="540"/>
        <w:jc w:val="both"/>
        <w:spacing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законом от 31 декабря 2014 года № 488-ФЗ «О промышленной политике в Российской Федерации» разработан настоящий Порядок, который регулирует условия и механизм подтверждения соответствия индустриальных (промышленных) парков, п</w:t>
      </w:r>
      <w:r>
        <w:rPr>
          <w:rFonts w:ascii="Times New Roman" w:hAnsi="Times New Roman" w:cs="Times New Roman"/>
          <w:sz w:val="28"/>
          <w:szCs w:val="28"/>
        </w:rPr>
        <w:t xml:space="preserve">ромышленных технопарков, технопарков в сфере высоких технологий, управляющих компаний индустриальных (промышленных) парков, промышленных технопарков и технопарков в сфере высоких технологий, промышленных кластеров, специализированных организаций промышленн</w:t>
      </w:r>
      <w:r>
        <w:rPr>
          <w:rFonts w:ascii="Times New Roman" w:hAnsi="Times New Roman" w:cs="Times New Roman"/>
          <w:sz w:val="28"/>
          <w:szCs w:val="28"/>
        </w:rPr>
        <w:t xml:space="preserve">ых кластеров,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Югре, дополнительным требованиям к индустриальным (промышленным) паркам, промышленным технопаркам, технопаркам в сфере высоких технологий, управляющим компаниям индустриальных</w:t>
      </w:r>
      <w:r>
        <w:rPr>
          <w:rFonts w:ascii="Times New Roman" w:hAnsi="Times New Roman" w:cs="Times New Roman"/>
          <w:sz w:val="28"/>
          <w:szCs w:val="28"/>
        </w:rPr>
        <w:t xml:space="preserve"> (промышленных) парков, промышленных технопарков, технопарков в сфере высоких технологий, промышленным кластерам, специализированным организациям промышленных кластеров (далее – дополнительные требования) в целях применения к ним мер стимулирования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в сфере промышленности в соответствии с законодательством Российской Федерации и нормативными правовыми актами Ханты-Мансийского автономного округа – Югры.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31 декабря 2014 года № 488-ФЗ «О промышленной политике в Российской Федерации», постановлениями Правительства Российской Федерации от 31 июля 2015 года № 779«О промышленных кластерах и специализированных организациях промышленных кластеров», </w:t>
      </w:r>
      <w:r>
        <w:rPr>
          <w:rFonts w:ascii="Times New Roman" w:hAnsi="Times New Roman" w:cs="Times New Roman"/>
          <w:sz w:val="28"/>
          <w:szCs w:val="28"/>
        </w:rPr>
        <w:t xml:space="preserve">от 4 августа 2015 года № 794 «Об индустриальных (промышленных) парках и управляющих компаниях индустриальных (промышленных) парков», от 27 декабря 2019 года № 1863 «О промышленных технопарках и управляющих компаниях промышленных технопарков», от 25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№ 1381 «О технопарках в сфере высоких технологий и управляющих компаниях технопарков в сфере высоких технологий», и законом автономного округа от 31 марта 2016 года № 23-оз «О промышленной политике в Ханты-Мансийском автономном округе – Югре».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Подтверждение соответствия индустриальных (промышленных) парков, промышленных технопарков, технопарков в сфере высоких технологий, управляющих компаний индустриальных (промышленных) парков, промышленных технопарков и технопарков в сфере высоких технологи</w:t>
      </w:r>
      <w:r>
        <w:rPr>
          <w:rFonts w:ascii="Times New Roman" w:hAnsi="Times New Roman" w:cs="Times New Roman"/>
          <w:sz w:val="28"/>
          <w:szCs w:val="28"/>
        </w:rPr>
        <w:t xml:space="preserve">й, промышленных кластеров, специализированных организаций промышленных кластеров,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Югре, дополнительным требованиям, утвержденным настоящим постановлением осуществляется Департаментом промыш</w:t>
      </w:r>
      <w:r>
        <w:rPr>
          <w:rFonts w:ascii="Times New Roman" w:hAnsi="Times New Roman" w:cs="Times New Roman"/>
          <w:sz w:val="28"/>
          <w:szCs w:val="28"/>
        </w:rPr>
        <w:t xml:space="preserve">ленности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округа – Югры (далее – Департамент).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 Для подтверждения соответствия индустриального (промышленного) парка, промышленного технопарка, технопарка в сфере высоких технологий, и управляющей компании индустриального (пр</w:t>
      </w:r>
      <w:r>
        <w:rPr>
          <w:rFonts w:ascii="Times New Roman" w:hAnsi="Times New Roman" w:cs="Times New Roman"/>
          <w:sz w:val="28"/>
          <w:szCs w:val="28"/>
        </w:rPr>
        <w:t xml:space="preserve">омышленного) парка, управляющей компании промышленного технопарка, управляющей компании технопарка в сфере высоких технологий дополнительным требованиям, управляющая компания индустриального (промышленного) парка, управляющая компания промышленного технопа</w:t>
      </w:r>
      <w:r>
        <w:rPr>
          <w:rFonts w:ascii="Times New Roman" w:hAnsi="Times New Roman" w:cs="Times New Roman"/>
          <w:sz w:val="28"/>
          <w:szCs w:val="28"/>
        </w:rPr>
        <w:t xml:space="preserve">рка или управляющая компания технопарка в сфере высоких технологий (далее – управляющая компания) представляет в Департамент непосредственно или по почте заказным письмом с описью вложения, или посредством электронной почты: depprom@admhmao.ru следующие до</w:t>
      </w:r>
      <w:r>
        <w:rPr>
          <w:rFonts w:ascii="Times New Roman" w:hAnsi="Times New Roman" w:cs="Times New Roman"/>
          <w:sz w:val="28"/>
          <w:szCs w:val="28"/>
        </w:rPr>
        <w:t xml:space="preserve">кументы: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4.1 заявление, подписанное руководителем управляющей компании, о проведении проверки документов, представленных в целях подтверждения соответствия дополнительным требованиям индустриального (промышленного) парка, промышленного технопарка, технопар</w:t>
      </w:r>
      <w:r>
        <w:rPr>
          <w:rFonts w:ascii="Times New Roman" w:hAnsi="Times New Roman" w:cs="Times New Roman"/>
          <w:sz w:val="28"/>
          <w:szCs w:val="28"/>
        </w:rPr>
        <w:t xml:space="preserve">ка в сфере высоких технологий и управляющей компании по форме, утвержденной приказом Департамента;</w:t>
      </w:r>
      <w:r>
        <w:rPr>
          <w:rFonts w:ascii="Times New Roman" w:hAnsi="Times New Roman" w:cs="Times New Roman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заверенные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копии документов, подтверждающих наличие принадлежащих управляющей компании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договора аренды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ином законном основании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земельных участков, сост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авляющих территорию индустриального (промышленного) парка, промышленного технопарка, технопарка в сфере высоких технологий, и (или) зданий, строений и (или) их частей, расположенных на территории индустриального (промышленного) парка, промышленного технопа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рка, технопарка в сфере высоких технологий, и (или) объектов коммунальной и транспортной инфраструктур индустриального (промышленного) парка, промышленного технопарка, технопарка в сфере высоких технологий, 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технологической инфраструктуры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промышленного технопарка, технопарка в сфере высоких технологий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случае отсутствия сведений в Едином государственном реестре недвижимости)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</w:rPr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4.3 заверенную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копию реестра договоров, и (или) предварительных договоров, и (или) соглашений о намерениях, заключенных между управляющей компанией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резидентами и (или) потенциальными резидентами индустриального (промышленного) парка, промышленного технопарка, технопарка в сфере высоких технологий;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заверенную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копию реестра резидентов и (или) потенциальных резидентов индустриальн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(промышленного) парка, промышленного технопарка, технопарка в сфере высоких технологий за подписью руководителя управляющей компании.</w:t>
      </w:r>
      <w:r>
        <w:rPr>
          <w:color w:val="auto"/>
        </w:rPr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5. Для подтверждения соответствия промышленного кластера и специализированной организации промышленного кластера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требованиям, специализированная организация промышленного кластера (далее – специализированная организация) представляет в Департамент следующие документы: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5.1 заявление, подписанное руководителем специализированной организации, о проведении пров</w:t>
      </w:r>
      <w:r>
        <w:rPr>
          <w:rFonts w:ascii="Times New Roman" w:hAnsi="Times New Roman" w:cs="Times New Roman"/>
          <w:sz w:val="28"/>
          <w:szCs w:val="28"/>
        </w:rPr>
        <w:t xml:space="preserve">ерки документов, представленных в целях подтверждения соответствия промышленного кластера и специализированной организации Дополнительным требованиям по форме, утвержденной приказом Департамента;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заверенную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копию реестра участников промыш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ленного кластера и сведения по каждому участнику промышленного кластера (с указанием наименования, ОГРН, ИНН, юридического адреса и адреса местонахождения, видов выпускаемой продукции и (или) услуг в сфере промышленности, используемых и (или) оказываемых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ля производства конечной промышленной продукции промышленного кластера) подтверждающие соответствие дополнительным требованиям, заверенные руководителем специализированной организации;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заверенную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копию реестра участников промышленного кла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стера, осуществляющих конечный выпуск промышленной продукции кластера, содержащую сведения по каждому участнику промышленного кластера (наименование, ОГРН, ИНН, юридический адрес и фактический адрес местонахождения, видов конечной промышленной продукции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омышленного кластера), заверенные руководителем специализированной организации.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6. Пакет документов на бумажном носителе должен быть прошит в одну или несколько папок (томов), пронумерован и опечатан. Первыми должны быть подшиты заявление и перечень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входящих в состав пакета документов, с указанием страницы, на которой находится соответствующий документ. При представлении в составе пакета документов нескольких папок (томов) указываются номера папок (томов) и количество страниц в каждой папке (том</w:t>
      </w:r>
      <w:r>
        <w:rPr>
          <w:rFonts w:ascii="Times New Roman" w:hAnsi="Times New Roman" w:cs="Times New Roman"/>
          <w:sz w:val="28"/>
          <w:szCs w:val="28"/>
        </w:rPr>
        <w:t xml:space="preserve">е) соответственно.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7. Заявление управляющей компании, специализированной организации регистрируется Департаментом в день поступления.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8. Департамент в срок не более 15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организует проверку представленного комплекта документов на соответствие индустриального (промышленного) парка, промышленного технопарка, технопарка в сфере высоких технологий и управляющей компании, промышленного кластера и специализированной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дополнительным требованиям и принимает решение в форме приказа о соответствии либо несоответствии индустриального (промышленного) парка, промышленного технопарка, технопарка в сфере высоких технологий и управляющей компании, промышленного кластер</w:t>
      </w:r>
      <w:r>
        <w:rPr>
          <w:rFonts w:ascii="Times New Roman" w:hAnsi="Times New Roman" w:cs="Times New Roman"/>
          <w:sz w:val="28"/>
          <w:szCs w:val="28"/>
        </w:rPr>
        <w:t xml:space="preserve">а и специализированной организации дополнительным требованиям.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8.1 С целью проверки представленных документов на соответствие требованиям Порядка Департамент запрашивает следующие документы (сведения) на дату регистрации в Департаменте заявления о проведен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ии проверки: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8.1.1 На официальном сайте Федеральной налоговой службы России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и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и (или) в порядке межведомственного информационного взаимодействия: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выписку из Единого государственного реестра юридических лиц;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сведения о наличии (отсутствии) задолженности  по уплате налогов, сборов и страховых взносов в бюджеты бюджетной системы Российской Федерации.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8.1.2 в территориальном органе Управления Росреестра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br/>
        <w:t xml:space="preserve">по Ханты-Мансийскому автономному округу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Югре: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сведения,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подтвер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ждающие наличие принадлежащих управляющей компании на праве собственности или на ином законном основании земельных участков, составляющих территорию индустриального (промышленного) парка, промышленного технопарка, технопарка в сфере высоких технологий, и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или) зданий, строений и (или) их частей, расположенных на территории индустриального (промышленного) парка, промышленного технопарка, технопарка в сфере высоких технологий, и (или) объектов коммунальной и транспортной инфраструктур индустриального (промышл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енного) парка, промышленного технопарка, технопарка в сфере высоких технологий, 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технологической инфраструктуры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промышленного технопарка, технопарка в сфере высоких технологий.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9. Решение о несоответствии индустриального (промышленного) парка, промышленного технопарка, технопарка в сфере в</w:t>
      </w:r>
      <w:r>
        <w:rPr>
          <w:rFonts w:ascii="Times New Roman" w:hAnsi="Times New Roman" w:cs="Times New Roman"/>
          <w:sz w:val="28"/>
          <w:szCs w:val="28"/>
        </w:rPr>
        <w:t xml:space="preserve">ысоких технологий и управляющей компании, промышленного кластера и специализированной организации дополнительным требованиям принимается Департаментом в случаях, если: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представленные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управляющей компанией или специализированной организацией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документы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не подтверждают соответствие индустриального (промышленного) парка, промышленного технопарка, технопарка в сфере высоких техноло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гий и управляющей компании, промышленного кластера и специализированной организации дополнительным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требованиям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или подан неполный комплект документов, предусмотренных пунктами 4, 5 Порядка (предоставление не в полном объеме);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color w:val="auto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представлены недостоверные св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едения.</w:t>
      </w:r>
      <w:r>
        <w:rPr>
          <w:color w:val="auto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10. Департамент в течение 10 рабочих дней со дня принятия решения о соответствии (далее – решение о соответствии) либо несоответствии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решение о несоответствии) индустриального (промышленного) парка, промышленного технопарка, технопарка в с</w:t>
      </w:r>
      <w:r>
        <w:rPr>
          <w:rFonts w:ascii="Times New Roman" w:hAnsi="Times New Roman" w:cs="Times New Roman"/>
          <w:sz w:val="28"/>
          <w:szCs w:val="28"/>
        </w:rPr>
        <w:t xml:space="preserve">фере высоких технологий и управляющей компании, промышленного кластера и специализированной организации дополнительным требованиям: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направляет в адрес управляющей компании, специализированной организации соответствующее уведомление. В случае принятия решен</w:t>
      </w:r>
      <w:r>
        <w:rPr>
          <w:rFonts w:ascii="Times New Roman" w:hAnsi="Times New Roman" w:cs="Times New Roman"/>
          <w:sz w:val="28"/>
          <w:szCs w:val="28"/>
        </w:rPr>
        <w:t xml:space="preserve">ия о несоответствии, в уведомлении указывается основание принятия такого решения;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– вносит сведения о соответствии индустриального (промышленного) парка, промышленного технопарка, технопарка в сфере высоких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и управляющей компании, промышленного кластера и специализированной организации в реестр индустриальных (промышленных) парков, промышленных технопарков, технопарков в сфере высоких технологий, промышленных кластеров, управляющих компаний и специализиров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организаций автономного округа, сведения о резидентах индустриального (промышленного) парка, промышленного технопарка, технопарка в сфере высоких технологий, участниках промышленного кластера – в реестр резидентов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 xml:space="preserve">, промышленных технопарков, технопарков в сфере высоких технологий, участников промышленных кластеров автономного округа (далее – реестр резидентов и участников);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размещение и актуализацию реестра индустриальных (промышленных) парков, промышле</w:t>
      </w:r>
      <w:r>
        <w:rPr>
          <w:rFonts w:ascii="Times New Roman" w:hAnsi="Times New Roman" w:cs="Times New Roman"/>
          <w:sz w:val="28"/>
          <w:szCs w:val="28"/>
        </w:rPr>
        <w:t xml:space="preserve">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и реестра резидентов на инвестиционном портале автономного округа.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11. Срок действия решения о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индустриального (промышленного) парка, промышленного технопарка, технопарка в сфере высоких технологий и управляющей компании, промышленного кластера и специализированной организации дополнительным требованиям устанавливается до даты действия решени</w:t>
      </w:r>
      <w:r>
        <w:rPr>
          <w:rFonts w:ascii="Times New Roman" w:hAnsi="Times New Roman" w:cs="Times New Roman"/>
          <w:sz w:val="28"/>
          <w:szCs w:val="28"/>
        </w:rPr>
        <w:t xml:space="preserve">я Минпромторга России о соответствии индустриального (промышленного) парка, промышленного технопарка, технопарка в сфере высоких технологий и управляющей компании, промышленного кластера и специализированной организации, требованиям, установленным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ьством Российской Федерации (включительно).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12. Управляющая компания, специализированная организация вправе повторно представить документы в Департамент после устранения причин, в связи с которыми Департаментом было принято решение о несоответствии.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13. Де</w:t>
      </w:r>
      <w:r>
        <w:rPr>
          <w:rFonts w:ascii="Times New Roman" w:hAnsi="Times New Roman" w:cs="Times New Roman"/>
          <w:sz w:val="28"/>
          <w:szCs w:val="28"/>
        </w:rPr>
        <w:t xml:space="preserve">партамент в течение 7 рабочих дней после включения сведений об индустриальном (промышленном) парке, промышленном технопарке, технопарке в сфере высоких технологий и управляющей компании, промышленном кластере и специализированной организации в реестр индус</w:t>
      </w:r>
      <w:r>
        <w:rPr>
          <w:rFonts w:ascii="Times New Roman" w:hAnsi="Times New Roman" w:cs="Times New Roman"/>
          <w:sz w:val="28"/>
          <w:szCs w:val="28"/>
        </w:rPr>
        <w:t xml:space="preserve">триальных (промышленных) парков, промышленных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направляет в адрес управляющей компании, 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налогового органа по местонахождению управляющей компании, специализированной организации уведомление о включении сведений в реестр индустриальных (промышленных) парков, промышленных технопарков, технопарков в сфере высоких технологий, промышл</w:t>
      </w:r>
      <w:r>
        <w:rPr>
          <w:rFonts w:ascii="Times New Roman" w:hAnsi="Times New Roman" w:cs="Times New Roman"/>
          <w:sz w:val="28"/>
          <w:szCs w:val="28"/>
        </w:rPr>
        <w:t xml:space="preserve">енных кластеров, управляющих компаний и специализированных организаций автономного округа и в реестр резидентов и участников.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14. Деп</w:t>
      </w:r>
      <w:r>
        <w:rPr>
          <w:rFonts w:ascii="Times New Roman" w:hAnsi="Times New Roman" w:cs="Times New Roman"/>
          <w:sz w:val="28"/>
          <w:szCs w:val="28"/>
        </w:rPr>
        <w:t xml:space="preserve">артамент исключает сведения о соответствии индустриального (промышленного) парка, промышленного технопарка, технопарка в сфере высоких технологий и управляющей компании, промышленного кластера и специализированной организации, резидентов индустриального (п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ромышленного) парка, промышленного технопарка, технопарка в сфере высоких технологий, промышленного кластера из реестра резидентов: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14.1 по истечении срока действия решения о соответствии индустриального (промышленного) парка, промышленного технопарка, тех</w:t>
      </w:r>
      <w:r>
        <w:rPr>
          <w:rFonts w:ascii="Times New Roman" w:hAnsi="Times New Roman" w:cs="Times New Roman"/>
          <w:sz w:val="28"/>
          <w:szCs w:val="28"/>
        </w:rPr>
        <w:t xml:space="preserve">нопарка в сфере высоких технологий и управляющей компании, промышленного кластера и специализированной организации дополнительным требованиям;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14.2 до истечения срока действия решения о соответствии индустриального (промышленного) парка, промышленного техн</w:t>
      </w:r>
      <w:r>
        <w:rPr>
          <w:rFonts w:ascii="Times New Roman" w:hAnsi="Times New Roman" w:cs="Times New Roman"/>
          <w:sz w:val="28"/>
          <w:szCs w:val="28"/>
        </w:rPr>
        <w:t xml:space="preserve">опарка, технопарка в сфере высоких технологий и управляющей компании, промышленного кластера и специализированной организации дополнительным требованиям на основании: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решения Минпромторга России о несоответствии индустриального (промышленного) парка, промы</w:t>
      </w:r>
      <w:r>
        <w:rPr>
          <w:rFonts w:ascii="Times New Roman" w:hAnsi="Times New Roman" w:cs="Times New Roman"/>
          <w:sz w:val="28"/>
          <w:szCs w:val="28"/>
        </w:rPr>
        <w:t xml:space="preserve">шленного технопарка, технопарка в сфере высоких технологий и управляющей компании, промышленного кластера и специализированной организации об исключении сведений об индустриальном (промышленном) парке, промышленном технопарке, технопарке в сфере высоких те</w:t>
      </w:r>
      <w:r>
        <w:rPr>
          <w:rFonts w:ascii="Times New Roman" w:hAnsi="Times New Roman" w:cs="Times New Roman"/>
          <w:sz w:val="28"/>
          <w:szCs w:val="28"/>
        </w:rPr>
        <w:t xml:space="preserve">хнологий и управляющей компании, промышленном кластере и специализированной организации из реестра индустриальных (промышленных) парков, промышленных технопарков, технопарков в сфере высоких технологий, промышленных кластеров, управляющих компаний и 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лизированных организаций автономного округа, подтвердивших соответствие требованиям, установленным Правительством Российской Федерации;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заявления управляющей компании, специализированной организации об исключении сведений об индустриальном (промышленном) п</w:t>
      </w:r>
      <w:r>
        <w:rPr>
          <w:rFonts w:ascii="Times New Roman" w:hAnsi="Times New Roman" w:cs="Times New Roman"/>
          <w:sz w:val="28"/>
          <w:szCs w:val="28"/>
        </w:rPr>
        <w:t xml:space="preserve">арке, промышленном технопарке, технопарке в сфере высоких технологий и управляющей компании, промышленном кластере и специализированной организации из реестра индустриальных (промышленных) парков, промышленных технопарков, технопарков в сфере высоких техно</w:t>
      </w:r>
      <w:r>
        <w:rPr>
          <w:rFonts w:ascii="Times New Roman" w:hAnsi="Times New Roman" w:cs="Times New Roman"/>
          <w:sz w:val="28"/>
          <w:szCs w:val="28"/>
        </w:rPr>
        <w:t xml:space="preserve">логий, промышленных кластеров, управляющих компаний и специализированных организаций автономного округа из реестра индустриальных (промышленных) парков, промышленных технопарков, технопарков в сфере высоких технологий, промышленных кластеров, управляющих к</w:t>
      </w:r>
      <w:r>
        <w:rPr>
          <w:rFonts w:ascii="Times New Roman" w:hAnsi="Times New Roman" w:cs="Times New Roman"/>
          <w:sz w:val="28"/>
          <w:szCs w:val="28"/>
        </w:rPr>
        <w:t xml:space="preserve">омпаний и специализированных организаций автономного округа;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  <w:r/>
      <w:r/>
      <w:r>
        <w:rPr>
          <w:rFonts w:ascii="Times New Roman" w:hAnsi="Times New Roman" w:cs="Times New Roman"/>
          <w:sz w:val="28"/>
          <w:szCs w:val="28"/>
        </w:rPr>
        <w:t xml:space="preserve">решения Департамента в связи с непредоставлением управляющей компанией, специализированной организацией в установленные сроки информации, указанной в пункте 16 Порядка.</w:t>
      </w:r>
      <w:r/>
      <w:r/>
      <w:r/>
      <w:r/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15. Департамен</w:t>
      </w:r>
      <w:r>
        <w:rPr>
          <w:rFonts w:ascii="Times New Roman" w:hAnsi="Times New Roman" w:cs="Times New Roman"/>
          <w:sz w:val="28"/>
          <w:szCs w:val="28"/>
        </w:rPr>
        <w:t xml:space="preserve">т в течение 7 рабочих дней после исключения сведений о соответствии индустриального (промышленного) парка, промышленного технопарка, технопарка в сфере высоких технологий и управляющей компании, промышленного кластера и специализированной организации из ре</w:t>
      </w:r>
      <w:r>
        <w:rPr>
          <w:rFonts w:ascii="Times New Roman" w:hAnsi="Times New Roman" w:cs="Times New Roman"/>
          <w:sz w:val="28"/>
          <w:szCs w:val="28"/>
        </w:rPr>
        <w:t xml:space="preserve">естра индустриальных (промышленных) парков, промышленных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из реестра индустриальных (промышленных) парков, </w:t>
      </w:r>
      <w:r>
        <w:rPr>
          <w:rFonts w:ascii="Times New Roman" w:hAnsi="Times New Roman" w:cs="Times New Roman"/>
          <w:sz w:val="28"/>
          <w:szCs w:val="28"/>
        </w:rPr>
        <w:t xml:space="preserve">промышленных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направляет в адрес управляющей компании, специализированной организации, налогового органа по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местонахождению управляющей компании, специализированной организации уведомление об исключении сведений из реестра индустриальных (промышленных) парков, промышленных технопарков, технопарков в сфере высоких технологий, промышленных кластеров, управляющих </w:t>
      </w:r>
      <w:r>
        <w:rPr>
          <w:rFonts w:ascii="Times New Roman" w:hAnsi="Times New Roman" w:cs="Times New Roman"/>
          <w:sz w:val="28"/>
          <w:szCs w:val="28"/>
        </w:rPr>
        <w:t xml:space="preserve">компаний и специализированных организаций автономного округа, сведений о резидентах индустриальных (промышленных) парков, промышленных технопарков, технопарков в сфере высоких технологий, участниках промышленных кластеров автономного округа – из реестра ре</w:t>
      </w:r>
      <w:r>
        <w:rPr>
          <w:rFonts w:ascii="Times New Roman" w:hAnsi="Times New Roman" w:cs="Times New Roman"/>
          <w:sz w:val="28"/>
          <w:szCs w:val="28"/>
        </w:rPr>
        <w:t xml:space="preserve">зидентов и участников.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Times New Roman" w:hAnsi="Times New Roman" w:cs="Times New Roman"/>
          <w:sz w:val="28"/>
          <w:szCs w:val="28"/>
        </w:rPr>
        <w:t xml:space="preserve">16. Управляющая компания, специализированная организация в отношении которой было принято решение о соответствии требованиям, установленным Правительством Российской Федерации, обеспечивает:</w:t>
      </w:r>
      <w:r/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16.1 ежеквартально, до 15 числа второго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кварталом, предоставление в Департамент следующей информации: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резидентов, участников, осуществляющих деятельность в индустриальных (промышленных) парках, промышленных технопарках, технопарках в сфере высоких техно</w:t>
      </w:r>
      <w:r>
        <w:rPr>
          <w:rFonts w:ascii="Times New Roman" w:hAnsi="Times New Roman" w:cs="Times New Roman"/>
          <w:sz w:val="28"/>
          <w:szCs w:val="28"/>
        </w:rPr>
        <w:t xml:space="preserve">логий, промышленных кластерах;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мест, созданных резидентами, участниками осуществляющими деятельность в индустриальных (промышленных) парках, промышленных технопарках, технопарках в сфере высоких технологий, промышленных кластерах;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отгруженных товаров собственного производства, работ и услуг, выполненных собственными силами резидентов, участников осуществляющих деятельность в индустриальных (промышленных) парках, промышленных технопарках, технопарках в сфере высоких технологий, промы</w:t>
      </w:r>
      <w:r>
        <w:rPr>
          <w:rFonts w:ascii="Times New Roman" w:hAnsi="Times New Roman" w:cs="Times New Roman"/>
          <w:sz w:val="28"/>
          <w:szCs w:val="28"/>
        </w:rPr>
        <w:t xml:space="preserve">шленных кластерах;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таможенных платежей резидентов, участников осуществляющих деятельность в индустриальных (промышленных) парках, промышленных технопарках, технопарках в сфере высоких технологий, промышленных кластерах, уплаченных в том ч</w:t>
      </w:r>
      <w:r>
        <w:rPr>
          <w:rFonts w:ascii="Times New Roman" w:hAnsi="Times New Roman" w:cs="Times New Roman"/>
          <w:sz w:val="28"/>
          <w:szCs w:val="28"/>
        </w:rPr>
        <w:t xml:space="preserve">исле в федеральный бюджет, бюджет автономного округа, местный бюджет;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инновационных товаров, работ, услуг, выполненных (предприятиями) резидентами, осуществляющими деятельность в промышленных технопарках, технопарках в сфере высоких техно</w:t>
      </w:r>
      <w:r>
        <w:rPr>
          <w:rFonts w:ascii="Times New Roman" w:hAnsi="Times New Roman" w:cs="Times New Roman"/>
          <w:sz w:val="28"/>
          <w:szCs w:val="28"/>
        </w:rPr>
        <w:t xml:space="preserve">логий;</w:t>
      </w:r>
      <w:r/>
    </w:p>
    <w:p>
      <w:pPr>
        <w:ind w:firstLine="540"/>
        <w:jc w:val="both"/>
        <w:spacing w:after="0" w:line="360" w:lineRule="auto"/>
        <w:rPr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16.2 ежегодно, до 10 марта текущего календарного года, внесение в геоинформационную систему индустриальных парков, технопарков и промышленных кластеров Российской Федерации, размещенной по адресу: www.gisip.ru, сведений о показателях деятельности уп</w:t>
      </w:r>
      <w:r>
        <w:rPr>
          <w:rFonts w:ascii="Times New Roman" w:hAnsi="Times New Roman" w:cs="Times New Roman"/>
          <w:sz w:val="28"/>
          <w:szCs w:val="28"/>
        </w:rPr>
        <w:t xml:space="preserve">равляющей компании, специализированной организации и резидентов индустриальных (промышленных) парках, промышленных технопарках, технопарках в сфере высоких технологий, участников промышленных кластеров автономного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округа за предыдущий календарный год.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rPr>
          <w:color w:val="auto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16.3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в срок не более 20 рабочих дней информирование Департамента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с даты наступления события: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сведений о индустриальном (промышленном) парке, промышленном технопарке, технопарке в сфере высоких технологий и управляющей компании, промышленном класте</w:t>
      </w:r>
      <w:r>
        <w:rPr>
          <w:rFonts w:ascii="Times New Roman" w:hAnsi="Times New Roman" w:cs="Times New Roman"/>
          <w:sz w:val="28"/>
          <w:szCs w:val="28"/>
        </w:rPr>
        <w:t xml:space="preserve">ре и специализированной организации, содержащихся в реестре индустриальных (промышленных) парков, промышленных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 заключении (расторжении) соглашения с резидентом, потенциальным резидентом индустриального (промышленного) парка, промышленного технопарка, технопарка в сфере высоких технологий, участником, потенциальным участником промышленного кластера.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17. Депа</w:t>
      </w:r>
      <w:r>
        <w:rPr>
          <w:rFonts w:ascii="Times New Roman" w:hAnsi="Times New Roman" w:cs="Times New Roman"/>
          <w:sz w:val="28"/>
          <w:szCs w:val="28"/>
        </w:rPr>
        <w:t xml:space="preserve">ртамент в срок не более 10 рабочих дней с даты регистрации в Департаменте информации, указанной в абзацах втором и третьем подпункта 16.3 Порядка, обеспечивает: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реестр индустриальных (промышленных) парков, промышленных технопарков, тех</w:t>
      </w:r>
      <w:r>
        <w:rPr>
          <w:rFonts w:ascii="Times New Roman" w:hAnsi="Times New Roman" w:cs="Times New Roman"/>
          <w:sz w:val="28"/>
          <w:szCs w:val="28"/>
        </w:rPr>
        <w:t xml:space="preserve">нопарков в сфере высоких технологий, промышленных кластеров, управляющих компаний и специализированных организаций автономного округа и (или) реестр резидентов и участников;</w:t>
      </w:r>
      <w:r/>
    </w:p>
    <w:p>
      <w:pPr>
        <w:ind w:firstLine="540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уведомление управляющей компании, специализированной организации и налогового органа по местонахождению управляющей компании, специализированной организации о включении сведений или внесении изменений в реестр индустриальных (промышленных) парков, промышле</w:t>
      </w:r>
      <w:r>
        <w:rPr>
          <w:rFonts w:ascii="Times New Roman" w:hAnsi="Times New Roman" w:cs="Times New Roman"/>
          <w:sz w:val="28"/>
          <w:szCs w:val="28"/>
        </w:rPr>
        <w:t xml:space="preserve">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и (или) реестр резидентов и участников;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актуализацию реестра индустриальных (промышленных) парков, пр</w:t>
      </w:r>
      <w:r>
        <w:rPr>
          <w:rFonts w:ascii="Times New Roman" w:hAnsi="Times New Roman" w:cs="Times New Roman"/>
          <w:sz w:val="28"/>
          <w:szCs w:val="28"/>
        </w:rPr>
        <w:t xml:space="preserve">омышленных технопарков, технопарков в сфере высоких технологий, промышленных кластеров, управляющих компаний и специализированных организаций автономного округа и (или) реестра резидентов и участников; на инвестиционном портале автономного округа.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417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12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</w:style>
  <w:style w:type="paragraph" w:styleId="675">
    <w:name w:val="Heading 1"/>
    <w:basedOn w:val="674"/>
    <w:next w:val="674"/>
    <w:link w:val="70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6">
    <w:name w:val="Heading 2"/>
    <w:basedOn w:val="674"/>
    <w:next w:val="674"/>
    <w:link w:val="70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7">
    <w:name w:val="Heading 3"/>
    <w:basedOn w:val="674"/>
    <w:next w:val="674"/>
    <w:link w:val="70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8">
    <w:name w:val="Heading 4"/>
    <w:basedOn w:val="674"/>
    <w:next w:val="674"/>
    <w:link w:val="70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674"/>
    <w:next w:val="674"/>
    <w:link w:val="70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674"/>
    <w:next w:val="674"/>
    <w:link w:val="70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1">
    <w:name w:val="Heading 7"/>
    <w:basedOn w:val="674"/>
    <w:next w:val="674"/>
    <w:link w:val="71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2">
    <w:name w:val="Heading 8"/>
    <w:basedOn w:val="674"/>
    <w:next w:val="674"/>
    <w:link w:val="71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3">
    <w:name w:val="Heading 9"/>
    <w:basedOn w:val="674"/>
    <w:next w:val="674"/>
    <w:link w:val="71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eastAsia="Arial" w:cs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84"/>
    <w:uiPriority w:val="99"/>
  </w:style>
  <w:style w:type="character" w:styleId="701" w:customStyle="1">
    <w:name w:val="Caption Char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link w:val="675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link w:val="676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"/>
    <w:link w:val="677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Title"/>
    <w:basedOn w:val="674"/>
    <w:next w:val="674"/>
    <w:link w:val="714"/>
    <w:uiPriority w:val="10"/>
    <w:qFormat/>
    <w:pPr>
      <w:contextualSpacing/>
      <w:spacing w:before="300"/>
    </w:pPr>
    <w:rPr>
      <w:sz w:val="48"/>
      <w:szCs w:val="48"/>
    </w:rPr>
  </w:style>
  <w:style w:type="character" w:styleId="714" w:customStyle="1">
    <w:name w:val="Заголовок Знак"/>
    <w:link w:val="713"/>
    <w:uiPriority w:val="10"/>
    <w:rPr>
      <w:sz w:val="48"/>
      <w:szCs w:val="48"/>
    </w:rPr>
  </w:style>
  <w:style w:type="paragraph" w:styleId="715">
    <w:name w:val="Subtitle"/>
    <w:basedOn w:val="674"/>
    <w:next w:val="674"/>
    <w:link w:val="716"/>
    <w:uiPriority w:val="11"/>
    <w:qFormat/>
    <w:pPr>
      <w:spacing w:before="200"/>
    </w:pPr>
    <w:rPr>
      <w:sz w:val="24"/>
      <w:szCs w:val="24"/>
    </w:r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basedOn w:val="674"/>
    <w:next w:val="674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74"/>
    <w:next w:val="674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74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link w:val="721"/>
    <w:uiPriority w:val="99"/>
  </w:style>
  <w:style w:type="paragraph" w:styleId="723">
    <w:name w:val="Footer"/>
    <w:basedOn w:val="674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uiPriority w:val="99"/>
  </w:style>
  <w:style w:type="paragraph" w:styleId="725">
    <w:name w:val="Caption"/>
    <w:basedOn w:val="674"/>
    <w:next w:val="67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26" w:customStyle="1">
    <w:name w:val="Нижний колонтитул Знак"/>
    <w:link w:val="723"/>
    <w:uiPriority w:val="99"/>
  </w:style>
  <w:style w:type="table" w:styleId="727">
    <w:name w:val="Table Grid"/>
    <w:basedOn w:val="68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8" w:customStyle="1">
    <w:name w:val="Table Grid Light"/>
    <w:basedOn w:val="68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9">
    <w:name w:val="Plain Table 1"/>
    <w:basedOn w:val="68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68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ned - Accent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Lined - Accent 2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Lined - Accent 6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Bordered &amp; Lined - Accent 2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Bordered &amp; Lined - Accent 6"/>
    <w:basedOn w:val="68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74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basedOn w:val="674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basedOn w:val="674"/>
    <w:next w:val="674"/>
    <w:uiPriority w:val="39"/>
    <w:unhideWhenUsed/>
    <w:pPr>
      <w:spacing w:after="57"/>
    </w:pPr>
  </w:style>
  <w:style w:type="paragraph" w:styleId="861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62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63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64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65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66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67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68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74"/>
    <w:next w:val="674"/>
    <w:uiPriority w:val="99"/>
    <w:unhideWhenUsed/>
    <w:pPr>
      <w:spacing w:after="0"/>
    </w:pPr>
  </w:style>
  <w:style w:type="paragraph" w:styleId="871">
    <w:name w:val="No Spacing"/>
    <w:basedOn w:val="674"/>
    <w:uiPriority w:val="1"/>
    <w:qFormat/>
    <w:pPr>
      <w:spacing w:after="0" w:line="240" w:lineRule="auto"/>
    </w:pPr>
  </w:style>
  <w:style w:type="paragraph" w:styleId="872">
    <w:name w:val="List Paragraph"/>
    <w:basedOn w:val="674"/>
    <w:uiPriority w:val="34"/>
    <w:qFormat/>
    <w:pPr>
      <w:contextualSpacing/>
      <w:ind w:left="720"/>
    </w:pPr>
  </w:style>
  <w:style w:type="paragraph" w:styleId="873" w:customStyle="1">
    <w:name w:val="ConsPlusNormal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character" w:styleId="874">
    <w:name w:val="annotation reference"/>
    <w:basedOn w:val="684"/>
    <w:uiPriority w:val="99"/>
    <w:semiHidden/>
    <w:unhideWhenUsed/>
    <w:rPr>
      <w:sz w:val="16"/>
      <w:szCs w:val="16"/>
    </w:rPr>
  </w:style>
  <w:style w:type="paragraph" w:styleId="875">
    <w:name w:val="annotation text"/>
    <w:basedOn w:val="674"/>
    <w:link w:val="87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6" w:customStyle="1">
    <w:name w:val="Текст примечания Знак"/>
    <w:basedOn w:val="684"/>
    <w:link w:val="875"/>
    <w:uiPriority w:val="99"/>
    <w:semiHidden/>
    <w:rPr>
      <w:sz w:val="20"/>
      <w:szCs w:val="20"/>
    </w:rPr>
  </w:style>
  <w:style w:type="paragraph" w:styleId="877">
    <w:name w:val="annotation subject"/>
    <w:basedOn w:val="875"/>
    <w:next w:val="875"/>
    <w:link w:val="878"/>
    <w:uiPriority w:val="99"/>
    <w:semiHidden/>
    <w:unhideWhenUsed/>
    <w:rPr>
      <w:b/>
      <w:bCs/>
    </w:rPr>
  </w:style>
  <w:style w:type="character" w:styleId="878" w:customStyle="1">
    <w:name w:val="Тема примечания Знак"/>
    <w:basedOn w:val="876"/>
    <w:link w:val="877"/>
    <w:uiPriority w:val="99"/>
    <w:semiHidden/>
    <w:rPr>
      <w:b/>
      <w:bCs/>
      <w:sz w:val="20"/>
      <w:szCs w:val="20"/>
    </w:rPr>
  </w:style>
  <w:style w:type="paragraph" w:styleId="879">
    <w:name w:val="Balloon Text"/>
    <w:basedOn w:val="674"/>
    <w:link w:val="88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684"/>
    <w:link w:val="87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15</cp:revision>
  <dcterms:created xsi:type="dcterms:W3CDTF">2024-05-15T06:52:00Z</dcterms:created>
  <dcterms:modified xsi:type="dcterms:W3CDTF">2024-05-22T06:19:02Z</dcterms:modified>
</cp:coreProperties>
</file>