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75" w:rsidRDefault="003B55AB">
      <w:pPr>
        <w:spacing w:after="200" w:line="276" w:lineRule="auto"/>
        <w:ind w:right="-162"/>
        <w:jc w:val="center"/>
      </w:pPr>
      <w:r>
        <w:rPr>
          <w:noProof/>
        </w:rPr>
        <w:drawing>
          <wp:inline distT="0" distB="0" distL="0" distR="0">
            <wp:extent cx="838200" cy="7620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575" w:rsidRDefault="003B55AB">
      <w:pPr>
        <w:jc w:val="center"/>
        <w:outlineLvl w:val="0"/>
      </w:pPr>
      <w:r>
        <w:rPr>
          <w:b/>
          <w:bCs/>
          <w:sz w:val="28"/>
          <w:szCs w:val="28"/>
          <w:lang w:eastAsia="en-US"/>
        </w:rPr>
        <w:t>ДЕПАРТАМЕНТ ПРОМЫШЛЕННОСТИ</w:t>
      </w:r>
    </w:p>
    <w:p w:rsidR="00FB1575" w:rsidRDefault="003B55AB">
      <w:pPr>
        <w:keepNext/>
        <w:jc w:val="center"/>
        <w:outlineLvl w:val="0"/>
      </w:pPr>
      <w:r>
        <w:rPr>
          <w:b/>
          <w:bCs/>
          <w:sz w:val="28"/>
          <w:szCs w:val="28"/>
          <w:lang w:eastAsia="en-US"/>
        </w:rPr>
        <w:t>ХАНТЫ-МАНСИЙСКОГО АВТОНОМНОГО ОКРУГА – ЮГРЫ</w:t>
      </w:r>
    </w:p>
    <w:p w:rsidR="00FB1575" w:rsidRDefault="003B55AB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(ДЕППРОМЫШЛЕННОСТИ ЮГРЫ)</w:t>
      </w:r>
    </w:p>
    <w:p w:rsidR="00FB1575" w:rsidRDefault="00FB1575">
      <w:pPr>
        <w:spacing w:before="120"/>
        <w:jc w:val="center"/>
        <w:rPr>
          <w:b/>
        </w:rPr>
      </w:pPr>
    </w:p>
    <w:p w:rsidR="00FB1575" w:rsidRDefault="003B55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B1575" w:rsidRDefault="00FB1575">
      <w:pPr>
        <w:jc w:val="center"/>
      </w:pPr>
    </w:p>
    <w:p w:rsidR="00FB1575" w:rsidRDefault="003B55A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приказ Департамента промышленности Ханты-Мансийского автономного округа – Югры от 31 марта 2023 года № 3-нп «Об утверждении П</w:t>
      </w:r>
      <w:r>
        <w:rPr>
          <w:bCs/>
          <w:sz w:val="28"/>
          <w:szCs w:val="28"/>
        </w:rPr>
        <w:t>орядков предоставления субсидий из бюджета Ханты-Мансийского автономного округа – Югры в рамках государственной программы Ханты-Мансийского автономного округа – Югры</w:t>
      </w:r>
    </w:p>
    <w:p w:rsidR="00FB1575" w:rsidRDefault="003B55A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«Развитие агропромышленного комплекса» юридическим лицам, индивидуальным предпринимателям,</w:t>
      </w:r>
      <w:r>
        <w:t xml:space="preserve"> </w:t>
      </w:r>
      <w:r>
        <w:rPr>
          <w:bCs/>
          <w:sz w:val="28"/>
          <w:szCs w:val="28"/>
        </w:rPr>
        <w:t>крестьянским (фермерским) хозяйствам»</w:t>
      </w:r>
    </w:p>
    <w:p w:rsidR="00FB1575" w:rsidRDefault="00FB1575">
      <w:pPr>
        <w:tabs>
          <w:tab w:val="center" w:pos="4535"/>
          <w:tab w:val="left" w:pos="6270"/>
        </w:tabs>
        <w:jc w:val="center"/>
      </w:pPr>
    </w:p>
    <w:p w:rsidR="00FB1575" w:rsidRDefault="003B55AB">
      <w:pPr>
        <w:tabs>
          <w:tab w:val="center" w:pos="4535"/>
          <w:tab w:val="left" w:pos="6270"/>
        </w:tabs>
        <w:jc w:val="center"/>
      </w:pPr>
      <w:r>
        <w:rPr>
          <w:sz w:val="28"/>
          <w:szCs w:val="28"/>
        </w:rPr>
        <w:t>г. Ханты-Мансийск</w:t>
      </w:r>
    </w:p>
    <w:p w:rsidR="00FB1575" w:rsidRDefault="00FB1575">
      <w:pPr>
        <w:spacing w:line="276" w:lineRule="auto"/>
        <w:jc w:val="center"/>
      </w:pPr>
    </w:p>
    <w:p w:rsidR="00FB1575" w:rsidRDefault="003B55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 2023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_____-нп</w:t>
      </w:r>
    </w:p>
    <w:p w:rsidR="00FB1575" w:rsidRDefault="00FB1575">
      <w:pPr>
        <w:spacing w:line="276" w:lineRule="auto"/>
        <w:jc w:val="both"/>
        <w:rPr>
          <w:sz w:val="28"/>
          <w:szCs w:val="28"/>
        </w:rPr>
      </w:pPr>
    </w:p>
    <w:p w:rsidR="00FB1575" w:rsidRDefault="003B55A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1.3 Представления Счетной палаты Ханты-Мансийского автономного округа – Югры от 16 июня 2023 года               № 19 </w:t>
      </w:r>
      <w:r>
        <w:rPr>
          <w:rFonts w:ascii="Times New Roman" w:hAnsi="Times New Roman" w:cs="Times New Roman"/>
          <w:sz w:val="28"/>
          <w:szCs w:val="28"/>
        </w:rPr>
        <w:t xml:space="preserve">п р </w:t>
      </w:r>
      <w:r>
        <w:rPr>
          <w:rFonts w:ascii="Times New Roman" w:hAnsi="Times New Roman" w:cs="Times New Roman"/>
          <w:sz w:val="28"/>
          <w:szCs w:val="28"/>
        </w:rPr>
        <w:t>и к а з ы в а ю:</w:t>
      </w:r>
    </w:p>
    <w:p w:rsidR="00FB1575" w:rsidRDefault="00FB157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575" w:rsidRDefault="003B55AB">
      <w:pPr>
        <w:ind w:firstLine="720"/>
        <w:jc w:val="both"/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приказ Департамента промышленности Ханты-Мансийского автономного округа – Югры от 31 марта 2023 года № 3-нп «Об утверждении Порядков предоставления субсидий из бюджета</w:t>
      </w:r>
      <w:r>
        <w:t xml:space="preserve"> </w:t>
      </w:r>
      <w:r>
        <w:rPr>
          <w:bCs/>
          <w:sz w:val="28"/>
          <w:szCs w:val="28"/>
        </w:rPr>
        <w:t>Ханты-Мансийского автономного округа – Югры в рамках госуд</w:t>
      </w:r>
      <w:r>
        <w:rPr>
          <w:bCs/>
          <w:sz w:val="28"/>
          <w:szCs w:val="28"/>
        </w:rPr>
        <w:t>арственной программы Ханты-Мансийского автономного</w:t>
      </w:r>
      <w:r>
        <w:t xml:space="preserve"> </w:t>
      </w:r>
      <w:r>
        <w:rPr>
          <w:bCs/>
          <w:sz w:val="28"/>
          <w:szCs w:val="28"/>
        </w:rPr>
        <w:t>округа – Югры «Развитие агропромышленного комплекса»</w:t>
      </w:r>
      <w:r>
        <w:t xml:space="preserve"> </w:t>
      </w:r>
      <w:r>
        <w:rPr>
          <w:bCs/>
          <w:sz w:val="28"/>
          <w:szCs w:val="28"/>
        </w:rPr>
        <w:t>юридическим лицам, индивидуальным предпринимателям,</w:t>
      </w:r>
      <w:r>
        <w:t xml:space="preserve"> </w:t>
      </w:r>
      <w:r>
        <w:rPr>
          <w:bCs/>
          <w:sz w:val="28"/>
          <w:szCs w:val="28"/>
        </w:rPr>
        <w:t>крестьянским (фермерским) хозяйствам» следующие изменения</w:t>
      </w:r>
      <w:r>
        <w:rPr>
          <w:sz w:val="28"/>
          <w:szCs w:val="28"/>
        </w:rPr>
        <w:t>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В приложении 1:</w:t>
      </w:r>
    </w:p>
    <w:p w:rsidR="00FB1575" w:rsidRDefault="003B55AB">
      <w:pPr>
        <w:pStyle w:val="ConsPlusNormal"/>
        <w:numPr>
          <w:ilvl w:val="2"/>
          <w:numId w:val="4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2: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1.1.1.1. Абзац второй изложить в следующей редакции: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bookmarkStart w:id="0" w:name="undefined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целях реализации настоящего Порядка к возмещению подлежат затраты за отчетный финансовый год, на содержание поголовья северных оленей, по одному или нескольким направлениям: на приобретение кормов, ко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рмовых добавок, ветеринарных препаратов, средства защиты от кровососущих насекомых, оборудования и средств механизации, горюче-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смазочных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ветеринарное обеспечение имеющегося поголовья, оплата коммунальных услуг, затраты по страхованию поголовья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оленей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расходы на оплату труда, компенсационные и стимулирующие выплаты, административно-управленческие расходы, консалтинговые услуги, затраты на обучение, переобучение, повышение квалификации по профессии оленевод в лицензированных образовательных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изациях, </w:t>
      </w:r>
      <w:r>
        <w:rPr>
          <w:rFonts w:ascii="Times New Roman" w:hAnsi="Times New Roman" w:cs="Times New Roman"/>
          <w:sz w:val="28"/>
          <w:szCs w:val="28"/>
          <w:highlight w:val="white"/>
        </w:rPr>
        <w:t>на приобретение спецодежды, индивидуальных средств защиты, запасных частей к снего-, вездеходной технике, бензопил,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специальной одежды и специальных палаток для проживания в условиях Крайнего Севера,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строительство просчётных коралей и изгородей для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ветеринарных обработок оленей, аренда техники, транспортные услуги</w:t>
      </w:r>
      <w:r>
        <w:rPr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услуги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связанные со специальной оценкой труда и оценкой риска, полевые выплаты (полевое довольствие).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</w:t>
      </w:r>
      <w:r>
        <w:rPr>
          <w:color w:val="000000" w:themeColor="text1"/>
          <w:sz w:val="28"/>
          <w:szCs w:val="28"/>
          <w:highlight w:val="white"/>
        </w:rPr>
        <w:t>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1.1.1.2. Абзац третий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1.1.2. Абзац четвертый пункта 5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1.1.3.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8: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1.1.3.1.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Абзац третий  изложить в следующей редакции: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«справку-расчет субсидии на развитие северного оленеводства, справки-расчеты о движении поголовья северных оленей (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состоянию на 1 января текущего финансового года) по форме, установленной Департаментом и размещенной на его официальном сайте, с приложением документов, подтверждающих затраты, установленные абзацем вторым пункта 2 настоящего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копии договоров 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пли-продажи, оказания услуг, выполнения работ, товарно-транспортных накладных, ветеринарных сопроводительных документов на приобретение кормов, актов выполненных работ, оказанных услуг, копию штатного расписания, приказов о приеме на работу, приказа (распо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ряжения) о направлении в командировку, табеля учета рабочего времени и расчета оплаты труда, расчетно-платежной ведомости, расчетной ведомости, платежной ведомости по формам утвержденным постановлением Госкомстата РФ от 05.01.2004 № 1 «Об утверждении унифи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цированных форм первичной учетной документации по учету труда и его оплаты», копии авансовых отчетов, свидетельств о регистрации транспортных средств,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платежных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документов, подтверждающих оплату товаров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работ, услуг, выплату заработной платы, компен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сационных и стимулирующих выплат.».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1.1.3.2. После абзаца третьего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cy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51B4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справка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 отсутствии просроченной задолженности по возврату в бюджет автономного округа субсидий, бюджетных инвестиций, предоставленных в том чис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 (в исполнительных органах власти, органах местного самоуправления муниципальных образований автон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омного округа).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1.1.4. В пункте 11: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1.1.4.1. Абзац четвертый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1.1.5. После абзаца седьмого пункта 12 доп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«; установление факта недостоверности представленной получателем средств из бюджета автономного округа информации.».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1.1.6. После абзаца пятого пункта 14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Соглашением, предусматривающее увеличение поголовья северных оленей в текущем финансовом году по отношению к отчетном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 финансовому году.».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1.1.7. В пункте 16 предложение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нии в течение 3 рабочих дней со дня его регистрации.» заменить предложением «При формировании Соглашения на бумажном носителе Департамент скрепляет Соглашение печатью, регистрирует его и направляет 1 экземпляр получателю средств из бюджета автономного окру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га непосредственно или заказным почтовым отправлением с уведомлением о вручении в течение 3 рабочих дней со дня его регистрации.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1.1.8. Абзацы третий и четвертый пункта 17 признать утратившими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1.1.9. Абзац первый пункта 20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1.1.10. Пункт 21 изложить в следующей редакции: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«21. Максимальный размер субсидии рассчитывается по формуле: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 = А x В,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 – общий размер субсидии, рублей;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количество поголовья северных оленей по состоянию на 1 января текущего финансового года;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– ставка субсидии.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редоставляется по </w:t>
      </w:r>
      <w:hyperlink w:anchor="Par4427" w:tooltip="СТАВКИ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ставке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1400 рублей за голову в год, но не более 95 процентов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фактически подтвержденных затрат, понесенных за отчетный период по направлениям, установленным абзацем вторым пункта 2 настоящего Порядка.».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1.1.11. В пункте 25: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1.1.11.1. В абзаце пятом после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«санкций» дополнить словами «, в соответствии с условиям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1.1.11.2. Абзац шестой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 В приложении 2: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1.2.1. В пункте 2 слова «1 тонны живой массы» и «1 головы из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числа» исключить.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1.2.2. В пункте 4 слова «, при наличии маточного поголовья сельскохозяйственных живот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ных 100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более условных голов, но не более 95 процентов фактических подтвержденных затрат, понесенных за отчетный период» исключить.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1.2.3. В пункте 6: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1.2.3.1. Абзац второй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1.2.3.2.В абзаце шестом после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зверей» дополнить 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«,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заявленных к возмещению затрат в соответствии с пунктом 2 настоящего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1.2.3.3. После абзаца шестого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«наличие маточного поголовья сельскохозяйственных животных 100 и более условных голов;».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1.2.4. В пункте 9: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1.2.4.1. В абзаце третьем слова «месяц, предшествующий отчетному периоду,» заменить словами «период возмещения затрат, установленный пунктом 2 настоящего Порядка,».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1.2.4.2. Абзац четвертый изложить в следующей редакции: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 w:rsidR="00146B8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справку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 отс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перед бюджетом автономного округа;».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1.2.5. После абзаца шестого пункта 12 дополнить абзацами следующего содержания: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«сведения о наличии у всего имеющегося поголовья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сельскохозяйственных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которое заявлено в целях предоставления субсидии,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индивидуальной идентификации электронными чипами по состоянию на 31 декабря отчетного фина</w:t>
      </w:r>
      <w:r w:rsidR="00146B8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нсового года (в Ветслужбе Югры).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1.2.6. После абзаца седьмого пункта 13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«; установление факта недостоверности представленной получателем средств из бюджета автономного округа информации.».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1.2.7. После абзаца седьмог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пункта 14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1.2.8. В пункте 17 предложение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его регистрации.»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заменить предложением «При формировании Соглашения на бумажном носителе Департамент скрепляет Соглашение печатью, регистрирует его и направляет 1 экземпляр получателю средств из бюджета автономного округа непосредственно или заказным почтовым отправлением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 уведомлением о вручении в течение 3 рабочих дней со дня его регистрации.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1.2.9. Абзацы третий и четвертый пункта 18, пункт 21 признать утратившими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1.2.10. Пункт 22 изложить в следующей редакции: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«22. Максимальный размер субсидии рассчитывается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формулам: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22.1. на приобретение племенного молодняка сельскохозяйственных животных: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МРС = А x В,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где: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МРС – общий размер субсидии, рублей;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– количество тонн в живом весе;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– ставка субсидии, установленная пунктом 4 настоящего Порядка.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22.2.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на приобретение клеточных пушных зверей: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МРС = А x В,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где: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МРС – общий размер субсидии, рублей;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– количество голов;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– ставка субси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дии, установленная пунктом 4 настоящего Порядка.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22.3. Субсидия предоставляется 1 раз в текущем финансовом году, но не более 95 процентов фактически подтвержденных затрат, понесенных за отчетный период и по направлениям, установленным </w:t>
      </w:r>
      <w:hyperlink w:anchor="Par249" w:tooltip="1.2. Субсидию предоставляет Департамент промышленности автономного округа (далее -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B51B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 В пун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кте 23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«сохранность племенного маточного поголовья и» исключить. 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1.2.12. В пункте 27: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1.2.12.1. В абзаце пятом после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«санкций» дополнить словами «, в соответствии с условиями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1.2.12.2. Абзац шестой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1.3. В приложении 3: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1.3.1. Абзацы второй и пятый пункта 6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1.3.2. В пункте 10.1: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1.3.2.1. В абзаце третьем пункта 10.1: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1.3.2.1.1. после слов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молочных пород)» дополнить словами «за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отчетный финансовы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год»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1.3.2.1.2.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«по состоянию на 1 января текущего финансового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«за отчетный финансовый год».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1.3.2.2. Абзац четвертый изложить в следующей редакции: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«документы, подтверждающие затраты на содержание маточно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поголовья сельскохозяйственных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предусмотренные по одному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или нескольким направлениям: на приобретение кормов, кормовых добавок, ветеринарных препаратов, средств защиты от кровососущих насекомых, горюче-смазочных материалов, ветеринарное обеспе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чение поголовья, оплата коммунальных услуг, затраты по страхованию поголовья, расходы на оплату труда, компенсационные и стимулирующие выплаты (копии договоров купли-продажи, оказания услуг, выполнения работ, товарно-транспортных накладных, ветеринарных со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проводительных документов на приобретение кормов, актов выполненных работ, оказанных услуг, копию штатного расписания, приказов о приеме на работу, приказа (распоряжения) о направлении в командировку, табеля учета рабочего времени и расчета оплаты труда, р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асчетно-платежной ведомости, расчетной ведомости, платежной ведомости по формам, утвержденным постановлением Госкомстата РФ от 05.01.2004 № 1 «Об утверждении унифицированных форм первичной учетной документации по учету труда и его оплаты», копии авансовых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отчетов, свидетельств о регистрации транспортных средств, копии платежных документов, подтверждающих оплату товаров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работ, услуг, выплату заработной платы, компенсационных и стимулирующих выплат)</w:t>
      </w:r>
      <w:r>
        <w:rPr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1.3.2.3. Абзац пятый изложить в следующей редакции: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32A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справку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язательствам перед бюджетом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1.3.3. В пункте 10.2: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1.3.3.1. В абзаце третьем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месяц, предшествующий месяцу  регистрации 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 заменить словами «з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период возмещения затрат, установленный абзацем третьим пункта 3 настоящего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1.3.3.2. После абзаца третьего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32A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справку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 отсутствии просроченной задолженности по возврату в бюджет автономного округа субси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1.3.4. Абзац шестой пункта 14 признать утр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1.3.5. После абзаца восьмого пункта 15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«установление факта недостоверности представленной получателем средств из бюджета автономного округа информации.».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1.3.6. В абзаце пятом пункта 17 предложение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рабочих дней со дня его регистрации.» за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менить предложением «При формировании Соглашения на бумажном носителе Департамент скрепляет Соглашение печатью, регистрирует его и направляет 1 экземпляр получателю средств из бюджета автономного округа непосредственно или заказным почтовым отправлением с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уведомлением о вручении в течение 3 рабочих дней со дня его регистрации.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1.3.7. Абзацы третий и четвертый пункта 20 признать утратившими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1.3.8. Пункт 25 изложить в следующей редакции: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«25. По направлениям, установленным </w:t>
      </w:r>
      <w:hyperlink w:anchor="Par389" w:tooltip="содержание племенного маточного поголовья сельскохозяйственных животных (за исключением крупного рогатого скота специализированных мясных пород);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третьим пункта 2 настоящего Порядка: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размер субсиди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рассчитывается по формуле: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МРС = А x В,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МРС – общий размер субсидии, рублей;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– количество условных голов по состоянию на 1 января текущего финансового года;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– ставка субсидии, установленная пунктом 24 настоящего Порядка.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ставкам, установленным пунктом 24 настоящего Порядка,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 в текущем финансовом году, но не более 95 процентов фактически подтвержденных затрат, понесенных за отчетный пери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 направлениям, установленным </w:t>
      </w:r>
      <w:hyperlink w:anchor="Par249" w:tooltip="1.2. Субсидию предоставляет Департамент промышленности автономного округа (далее - Департамент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 xml:space="preserve">абзацами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вторым, третьим пункта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настоящего Порядка.».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1.3.9. В пункте 30: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1.3.9.1. В абзаце пятом после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«санкций» дополнить словами «, в соответствии с условиями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1.3.9.2. Абзац шестой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В приложении 4: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1.4.1.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абзаца второго пункта 11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сведения об отсутствии просроченной задолженности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1.4.2. После абзаца седьмого пункта 15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«установление факта недостоверности представленной получателем средств из бюджета автономного округа информации.»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1.4.3. После абзаца пятого пункта 17 дополнить абзацем след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ующего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Соглашением, предусматривающее увеличение не менее чем на 1 процент по отношению к отчетному финансовому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 объемов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собственного производства сельскохозяйственной продукции, по направлениям производственной деятельности, осуществляемым получателем средств из бюджета автономного округа, увеличение площади посевов сельскохозяйственных культур (при проведении кул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ьтуртехнических мероприятий).».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1.4.4. В пункте 19 предложение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ем о вручении в течение 3 рабочих дней со дня его регистрации.» заменить предложением «При формировании Соглашения на бумажном носителе Департамент скрепляет Соглашение печатью, регистрирует его и направляет 1 экземпляр получателю средств из бюджета автоно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много округа непосредственно или заказным почтовым отправлением с уведомлением о вручении в течение 3 рабочих дней со дня его регистрации.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1.4.5. Абзацы третий и четвертый пункта 20, пункт 23 признать утратившими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1.4.6. В пункте 29: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1.4.6.1.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абзаце пятом после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«санкций» дополнить словами «, в соответствии с условиями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1.4.6.2. Абзац шестой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В приложении 5: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1.5.1.После абзаца седьмого пункта 11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ьствам перед бюджетом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1.5.2. После абзаца седьмого пункта 15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«установление факта недостоверности представленной получателем средств из бюджета автономного округа информации.»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1.5.3. После абзац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пятого пункта 17 дополнить абзацем следующего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Соглашением, предусматривающее увеличение не менее чем на 1 процент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по отношению к отчетному финансовому году объемов собственного производства сельскохозяйственной продукции по направлениям производственной деятельности, осуществляемым получателем средств из бюджета автономного округа.».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1.5.4. В пункте 19 предложение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отправлением с уведомлением о вручении в течение 3 рабочих дней со дня его регистрации.» з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аменить предложением «При формировании Соглашения на бумажном носителе Департамент скрепляет Соглашение печатью, регистрирует его и направляет 1 экземпляр получателю средств из бюджета автономного округа непосредственно или заказным почтовым отправлением 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уведомлением о вручении в течение 3 рабочих дней со дня его регистрации.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1.5.5. Абзацы третий и четвертый пункта 20, пункт 23 признать утратившими силу.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1.5.6. В пункте 29: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1.5.6.1.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абзаце пятом после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«санкций» дополнить словами «, в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с условиями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1.5.6.2. Абзац шестой признать утратившим силу.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В приложение 6: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1.6.1. После абзаца девятого пункта 10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сведения об отсутствии просроченной задолженности по возврату в бюджет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1.6.2. После абзаца десято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 14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«установление факта недостоверности представленной получателем средств из бюджета автономного округа информации.»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1.6.3. После абзаца восьмого пункта 16 дополнить абзацем следующего: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Соглашением, предусматривающее обязательство получателя средств из бюджета автономного округа обеспечить создание раб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очих мест и увеличение объемов собственного производства товарной рыбы (рыбной продукции).».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1.6.4. В пункте 18 предложение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Департамент скрепляет печатью, регистрирует Соглашение и направляет 1 экземпляр получателю средств из бюджета автономного округа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посредственно или заказным почтовым отправлением с уведомлением о вручении в течение 3 рабочих дней со дня его регистрации.» заменить предложением «При формировании Соглашения на бумажном носителе Департамент скрепляет Соглашение печатью, регистрирует 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1.6.5. Абзацы третий и четвертый пункта 19, абзац перв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пункта 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признать утратившими силу.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1.6.6. В пункте 28: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1.6.6.1.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абзаце пятом после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«санкций» дополнить словами «, в соответствии с условиями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1.6.6.2. Абзац шестой признать утратившим силу.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В приложение 7: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абзаца второго пункта 10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сведения об отсутствии просроченной задолженности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1.7.2. После абзаца десятого пункта 14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«установление факта недостоверности представленной получателем средств из бюджета автономного округа информации.»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1.7.3. После абзаца восьмого пункта 17 дополнить абзацеми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ледующего: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«Департамент доводит получателю средств из бюджета автономного округа значение достижения результата предоставления субсидии, установленное Соглашением, предусматривающее:</w:t>
      </w:r>
    </w:p>
    <w:p w:rsidR="00FB1575" w:rsidRDefault="003B55AB">
      <w:pPr>
        <w:pStyle w:val="ConsPlusNormal"/>
        <w:ind w:firstLine="709"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сельскохозяйственному потребительскому кооперативу – увеличение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чем на 1 процент по отношению к отчетному финансовому году объемов реализации продукции, произведенной членами сельскохозяйственного потребительского кооператива;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Центру компетенций </w:t>
      </w:r>
      <w:r>
        <w:rPr>
          <w:rFonts w:ascii="Times New Roman" w:hAnsi="Times New Roman" w:cs="Times New Roman"/>
          <w:color w:val="000000" w:themeColor="text1"/>
          <w:szCs w:val="24"/>
          <w:highlight w:val="white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достижение значений показателей, установленных программой его деятельно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сти в сфере сельскохозяйственной кооперации и поддержки фермеров, согласованной Департаментом и Министерством сельского хозяйства Российской Федерации.».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1.7.4. В пункте 19 предложение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Департамент скрепляет печатью, регистрирует Соглашение и направляет 1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регистрации.» заменить предложением «При формировании Соглашения на бумажном носител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 Департамент скрепляет Соглашение печатью, регистрирует его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1.7.5. Абзацы третий и четвертый пункта 20, пункт 23 признать утратившими силу.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1.7.6. В пункте 28: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1.7.6.1.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абзаце пятом после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«санкций» дополнить словами «, в соответствии с условиями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1.7.6.2. Абзац шестой признать утратившим силу.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В приложение 8: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1.8.1. После абзаца седьмого пункта 10 дополнить абзацем следующего содержания: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сведения об отсутствии просроченной задолженности по возврату в бюджет автономного округа субсидий, 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ных инвестиций, предоставленных в том числе в соответствии с иными правовыми актами, и иную просроченную (неурегулированную) задолженность по денежным обязательствам перед бюджетом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1.8.2. После абзаца восьмого пункта 14 дополнить абза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цем следующего содержания: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«установление факта недостоверности представленной получателем средств из бюджета автономного округа информации.»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1.8.3. После абзаца шестого пункта 15 дополнить абзацем следующего: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Департамент доводит получателю средств из бюджета автономного округа значение достижения результата использования субсидии, установленное Соглашением, предусматривающее объем произведенных и реализованных хлеба и хлебобулочных изделий с использованием субс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идии.».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1.8.4. В пункте 17 предложение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Департамент скрепляет печатью,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 рабочих дней со дня его регистрации.» заменить предложением «При формировании Соглашения на бумажном носителе Департамент скрепляет Соглашение печатью, регистрирует его и направляет 1 экземпляр получателю средств из бюджета автономного округа непосредств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енно или заказным почтовым отправлением с уведомлением о вручении в течение 3 рабочих дней со дня его регистрации.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1.8.5. Абзацы третий и четвертый пункта 18, пункт 21 признать утратившими силу.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1.8.6. В пункте 27:</w:t>
      </w:r>
    </w:p>
    <w:p w:rsidR="00FB1575" w:rsidRDefault="003B55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1.8.6.1.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абзаце пятом после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«са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нкций» дополнить словами «, в соответствии с условиями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».</w:t>
      </w:r>
    </w:p>
    <w:p w:rsidR="00FB1575" w:rsidRDefault="003B5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1.8.6.2. Абзац шестой признать утратившим силу.</w:t>
      </w:r>
    </w:p>
    <w:p w:rsidR="00FB1575" w:rsidRDefault="00FB15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FB1575" w:rsidRDefault="00FB1575">
      <w:pPr>
        <w:tabs>
          <w:tab w:val="left" w:pos="567"/>
          <w:tab w:val="left" w:pos="7850"/>
        </w:tabs>
        <w:ind w:firstLine="709"/>
        <w:jc w:val="both"/>
        <w:rPr>
          <w:sz w:val="28"/>
          <w:szCs w:val="28"/>
        </w:rPr>
      </w:pPr>
    </w:p>
    <w:p w:rsidR="00FB1575" w:rsidRDefault="00FB1575">
      <w:pPr>
        <w:tabs>
          <w:tab w:val="left" w:pos="567"/>
          <w:tab w:val="left" w:pos="7850"/>
        </w:tabs>
        <w:ind w:firstLine="709"/>
        <w:jc w:val="both"/>
        <w:rPr>
          <w:sz w:val="28"/>
          <w:szCs w:val="28"/>
        </w:rPr>
      </w:pPr>
    </w:p>
    <w:p w:rsidR="00FB1575" w:rsidRDefault="003B55AB">
      <w:pPr>
        <w:tabs>
          <w:tab w:val="left" w:pos="567"/>
          <w:tab w:val="left" w:pos="7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                              К.С. Зайцев</w:t>
      </w:r>
    </w:p>
    <w:p w:rsidR="00FB1575" w:rsidRDefault="00FB1575">
      <w:pPr>
        <w:rPr>
          <w:bCs/>
          <w:sz w:val="28"/>
          <w:szCs w:val="28"/>
        </w:rPr>
      </w:pPr>
    </w:p>
    <w:sectPr w:rsidR="00FB1575">
      <w:headerReference w:type="default" r:id="rId9"/>
      <w:pgSz w:w="11906" w:h="16838"/>
      <w:pgMar w:top="1418" w:right="1276" w:bottom="1134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AB" w:rsidRDefault="003B55AB">
      <w:r>
        <w:separator/>
      </w:r>
    </w:p>
  </w:endnote>
  <w:endnote w:type="continuationSeparator" w:id="0">
    <w:p w:rsidR="003B55AB" w:rsidRDefault="003B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Albertus Extra Bold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AB" w:rsidRDefault="003B55AB">
      <w:r>
        <w:separator/>
      </w:r>
    </w:p>
  </w:footnote>
  <w:footnote w:type="continuationSeparator" w:id="0">
    <w:p w:rsidR="003B55AB" w:rsidRDefault="003B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78041"/>
      <w:docPartObj>
        <w:docPartGallery w:val="Page Numbers (Top of Page)"/>
        <w:docPartUnique/>
      </w:docPartObj>
    </w:sdtPr>
    <w:sdtEndPr/>
    <w:sdtContent>
      <w:p w:rsidR="00FB1575" w:rsidRDefault="003B55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AB">
          <w:rPr>
            <w:noProof/>
          </w:rPr>
          <w:t>2</w:t>
        </w:r>
        <w:r>
          <w:fldChar w:fldCharType="end"/>
        </w:r>
      </w:p>
    </w:sdtContent>
  </w:sdt>
  <w:p w:rsidR="00FB1575" w:rsidRDefault="00FB15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4C6"/>
    <w:multiLevelType w:val="multilevel"/>
    <w:tmpl w:val="61CC5D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7B0"/>
    <w:multiLevelType w:val="hybridMultilevel"/>
    <w:tmpl w:val="2C285626"/>
    <w:lvl w:ilvl="0" w:tplc="60EA51C2">
      <w:start w:val="1"/>
      <w:numFmt w:val="decimal"/>
      <w:lvlText w:val="%1."/>
      <w:lvlJc w:val="left"/>
      <w:pPr>
        <w:ind w:left="1428" w:hanging="360"/>
      </w:pPr>
    </w:lvl>
    <w:lvl w:ilvl="1" w:tplc="CF569ECE">
      <w:start w:val="1"/>
      <w:numFmt w:val="decimal"/>
      <w:lvlText w:val="%2."/>
      <w:lvlJc w:val="left"/>
      <w:pPr>
        <w:ind w:left="2148" w:hanging="360"/>
      </w:pPr>
      <w:rPr>
        <w:color w:val="FF0000"/>
      </w:rPr>
    </w:lvl>
    <w:lvl w:ilvl="2" w:tplc="C9AAFE98">
      <w:start w:val="1"/>
      <w:numFmt w:val="lowerRoman"/>
      <w:lvlText w:val="%3."/>
      <w:lvlJc w:val="right"/>
      <w:pPr>
        <w:ind w:left="2868" w:hanging="180"/>
      </w:pPr>
    </w:lvl>
    <w:lvl w:ilvl="3" w:tplc="C798B70C">
      <w:start w:val="1"/>
      <w:numFmt w:val="decimal"/>
      <w:lvlText w:val="%4."/>
      <w:lvlJc w:val="left"/>
      <w:pPr>
        <w:ind w:left="3588" w:hanging="360"/>
      </w:pPr>
    </w:lvl>
    <w:lvl w:ilvl="4" w:tplc="FD961BEE">
      <w:start w:val="1"/>
      <w:numFmt w:val="lowerLetter"/>
      <w:lvlText w:val="%5."/>
      <w:lvlJc w:val="left"/>
      <w:pPr>
        <w:ind w:left="4308" w:hanging="360"/>
      </w:pPr>
    </w:lvl>
    <w:lvl w:ilvl="5" w:tplc="D4961484">
      <w:start w:val="1"/>
      <w:numFmt w:val="lowerRoman"/>
      <w:lvlText w:val="%6."/>
      <w:lvlJc w:val="right"/>
      <w:pPr>
        <w:ind w:left="5028" w:hanging="180"/>
      </w:pPr>
    </w:lvl>
    <w:lvl w:ilvl="6" w:tplc="78C478FC">
      <w:start w:val="1"/>
      <w:numFmt w:val="decimal"/>
      <w:lvlText w:val="%7."/>
      <w:lvlJc w:val="left"/>
      <w:pPr>
        <w:ind w:left="5748" w:hanging="360"/>
      </w:pPr>
    </w:lvl>
    <w:lvl w:ilvl="7" w:tplc="F2B259C6">
      <w:start w:val="1"/>
      <w:numFmt w:val="lowerLetter"/>
      <w:lvlText w:val="%8."/>
      <w:lvlJc w:val="left"/>
      <w:pPr>
        <w:ind w:left="6468" w:hanging="360"/>
      </w:pPr>
    </w:lvl>
    <w:lvl w:ilvl="8" w:tplc="53F4086C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2A599E"/>
    <w:multiLevelType w:val="multilevel"/>
    <w:tmpl w:val="F0B279B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546D31"/>
    <w:multiLevelType w:val="multilevel"/>
    <w:tmpl w:val="634CC8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5"/>
    <w:rsid w:val="00146B8E"/>
    <w:rsid w:val="003B55AB"/>
    <w:rsid w:val="00B51B4B"/>
    <w:rsid w:val="00BC32AB"/>
    <w:rsid w:val="00FB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8B4E"/>
  <w15:docId w15:val="{272CBDD2-74BF-43EA-9FAB-DAE075EF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23">
    <w:name w:val="Верхний колонтитул Знак2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24">
    <w:name w:val="Нижний колонтитул Знак2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5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13">
    <w:name w:val="Заголовок 1 Знак"/>
    <w:basedOn w:val="a0"/>
    <w:link w:val="13"/>
    <w:qFormat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1">
    <w:name w:val="Название Знак"/>
    <w:basedOn w:val="a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3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1 Знак"/>
    <w:basedOn w:val="a0"/>
    <w:qFormat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f5">
    <w:name w:val="дата место Знак"/>
    <w:basedOn w:val="a0"/>
    <w:qFormat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Pr>
      <w:rFonts w:ascii="Arial" w:eastAsia="Arial" w:hAnsi="Arial" w:cs="Arial"/>
      <w:sz w:val="20"/>
      <w:szCs w:val="20"/>
    </w:rPr>
  </w:style>
  <w:style w:type="character" w:customStyle="1" w:styleId="af6">
    <w:name w:val="Текст примечания Знак"/>
    <w:basedOn w:val="a0"/>
    <w:uiPriority w:val="99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8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сноски Знак"/>
    <w:basedOn w:val="a0"/>
    <w:uiPriority w:val="99"/>
    <w:semiHidden/>
    <w:qFormat/>
    <w:rPr>
      <w:sz w:val="20"/>
      <w:szCs w:val="20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fc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fd">
    <w:name w:val="Символ сноски"/>
    <w:qFormat/>
  </w:style>
  <w:style w:type="character" w:customStyle="1" w:styleId="27">
    <w:name w:val="Знак сноски2"/>
    <w:qFormat/>
    <w:rPr>
      <w:vertAlign w:val="superscript"/>
    </w:rPr>
  </w:style>
  <w:style w:type="character" w:customStyle="1" w:styleId="15">
    <w:name w:val="Текст сноски Знак1"/>
    <w:basedOn w:val="a0"/>
    <w:qFormat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6">
    <w:name w:val="Верхний колонтитул Знак1"/>
    <w:basedOn w:val="a0"/>
    <w:uiPriority w:val="99"/>
    <w:qFormat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ижний колонтитул Знак1"/>
    <w:basedOn w:val="a0"/>
    <w:uiPriority w:val="99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Title"/>
    <w:basedOn w:val="a"/>
    <w:next w:val="afe"/>
    <w:link w:val="a3"/>
    <w:qFormat/>
    <w:pPr>
      <w:jc w:val="center"/>
    </w:pPr>
    <w:rPr>
      <w:sz w:val="28"/>
      <w:szCs w:val="28"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afe"/>
    <w:rPr>
      <w:rFonts w:cs="Ari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1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jc w:val="right"/>
      <w:outlineLvl w:val="0"/>
    </w:pPr>
    <w:rPr>
      <w:b/>
      <w:i/>
    </w:rPr>
  </w:style>
  <w:style w:type="paragraph" w:customStyle="1" w:styleId="18">
    <w:name w:val="Заголовок1"/>
    <w:basedOn w:val="a"/>
    <w:next w:val="afe"/>
    <w:qFormat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f2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aff3">
    <w:name w:val="No Spacing"/>
    <w:qFormat/>
  </w:style>
  <w:style w:type="paragraph" w:customStyle="1" w:styleId="aff4">
    <w:name w:val="Верхний и нижний колонтитулы"/>
    <w:basedOn w:val="a"/>
    <w:qFormat/>
  </w:style>
  <w:style w:type="paragraph" w:customStyle="1" w:styleId="1a">
    <w:name w:val="Верхний колонтитул1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29">
    <w:name w:val="Текст сноски Знак2"/>
    <w:basedOn w:val="a"/>
    <w:link w:val="aff5"/>
    <w:uiPriority w:val="99"/>
    <w:unhideWhenUsed/>
    <w:qFormat/>
    <w:pPr>
      <w:tabs>
        <w:tab w:val="center" w:pos="4677"/>
        <w:tab w:val="right" w:pos="9355"/>
      </w:tabs>
    </w:pPr>
  </w:style>
  <w:style w:type="paragraph" w:styleId="aff6">
    <w:name w:val="List Paragraph"/>
    <w:basedOn w:val="a"/>
    <w:uiPriority w:val="34"/>
    <w:qFormat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7">
    <w:name w:val="дата место"/>
    <w:basedOn w:val="a"/>
    <w:qFormat/>
    <w:pPr>
      <w:spacing w:line="276" w:lineRule="auto"/>
    </w:pPr>
    <w:rPr>
      <w:rFonts w:ascii="Verdana" w:eastAsiaTheme="minorEastAsia" w:hAnsi="Verdana" w:cstheme="minorBidi"/>
      <w:b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Pr>
      <w:rFonts w:ascii="Times New Roman" w:hAnsi="Times New Roman" w:cs="Times New Roman"/>
      <w:szCs w:val="20"/>
      <w:lang w:eastAsia="ru-RU"/>
    </w:rPr>
  </w:style>
  <w:style w:type="paragraph" w:styleId="aff8">
    <w:name w:val="annotation text"/>
    <w:basedOn w:val="a"/>
    <w:uiPriority w:val="99"/>
    <w:unhideWhenUsed/>
    <w:qFormat/>
    <w:pPr>
      <w:spacing w:after="200" w:line="276" w:lineRule="auto"/>
    </w:pPr>
    <w:rPr>
      <w:rFonts w:eastAsia="Calibri"/>
      <w:lang w:eastAsia="en-US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ody Text Indent"/>
    <w:basedOn w:val="a"/>
    <w:pPr>
      <w:ind w:firstLine="708"/>
      <w:jc w:val="both"/>
    </w:pPr>
    <w:rPr>
      <w:sz w:val="26"/>
    </w:rPr>
  </w:style>
  <w:style w:type="paragraph" w:customStyle="1" w:styleId="assignment6">
    <w:name w:val="assignment_6"/>
    <w:basedOn w:val="a"/>
    <w:qFormat/>
    <w:pPr>
      <w:spacing w:beforeAutospacing="1" w:afterAutospacing="1"/>
    </w:pPr>
  </w:style>
  <w:style w:type="paragraph" w:styleId="affb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customStyle="1" w:styleId="1b">
    <w:name w:val="Текст сноски1"/>
    <w:basedOn w:val="a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c">
    <w:name w:val="Содержимое таблицы"/>
    <w:basedOn w:val="a"/>
    <w:qFormat/>
    <w:pPr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paragraph" w:styleId="aff5">
    <w:name w:val="footnote text"/>
    <w:basedOn w:val="a"/>
    <w:link w:val="29"/>
    <w:pPr>
      <w:suppressLineNumbers/>
      <w:ind w:left="339" w:hanging="339"/>
    </w:pPr>
    <w:rPr>
      <w:lang w:eastAsia="zh-CN"/>
    </w:rPr>
  </w:style>
  <w:style w:type="paragraph" w:styleId="a9">
    <w:name w:val="header"/>
    <w:basedOn w:val="a"/>
    <w:link w:val="23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24"/>
    <w:uiPriority w:val="99"/>
    <w:unhideWhenUsed/>
    <w:pPr>
      <w:tabs>
        <w:tab w:val="center" w:pos="4677"/>
        <w:tab w:val="right" w:pos="9355"/>
      </w:tabs>
    </w:pPr>
  </w:style>
  <w:style w:type="table" w:styleId="af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qFormat/>
    <w:rPr>
      <w:rFonts w:eastAsia="Times New Roman" w:cs="Calibri"/>
      <w:szCs w:val="20"/>
      <w:lang w:eastAsia="ru-RU"/>
    </w:rPr>
  </w:style>
  <w:style w:type="character" w:customStyle="1" w:styleId="hgkelc">
    <w:name w:val="hgkelc"/>
    <w:basedOn w:val="a0"/>
  </w:style>
  <w:style w:type="character" w:styleId="afff">
    <w:name w:val="Hyperlink"/>
    <w:basedOn w:val="a0"/>
    <w:unhideWhenUsed/>
    <w:rPr>
      <w:color w:val="0000FF" w:themeColor="hyperlink"/>
      <w:u w:val="single"/>
    </w:rPr>
  </w:style>
  <w:style w:type="paragraph" w:styleId="afff0">
    <w:name w:val="Plain Text"/>
    <w:basedOn w:val="a"/>
    <w:link w:val="afff1"/>
    <w:uiPriority w:val="99"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uiPriority w:val="9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CECA-29D2-4AB1-98F4-7B4B6C97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subject/>
  <dc:creator>Grents</dc:creator>
  <dc:description/>
  <cp:lastModifiedBy>Фролов Андрей Анатольевич</cp:lastModifiedBy>
  <cp:revision>40</cp:revision>
  <dcterms:created xsi:type="dcterms:W3CDTF">2023-03-24T11:58:00Z</dcterms:created>
  <dcterms:modified xsi:type="dcterms:W3CDTF">2023-09-21T12:38:00Z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